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ind w:firstLine="284"/>
        <w:jc w:val="center"/>
        <w:shd w:val="clear" w:color="auto" w:fill="ffffff"/>
        <w:rPr>
          <w:szCs w:val="24"/>
        </w:rPr>
      </w:pPr>
      <w:r>
        <w:rPr>
          <w:szCs w:val="16"/>
        </w:rPr>
        <w:t xml:space="preserve">ФГУП "ВСЕРОССИЙСКИЙ НАУЧНО-ИССЛЕДОВАТЕЛЬСКИЙ ИНСТИТУТ</w:t>
      </w:r>
      <w:r/>
    </w:p>
    <w:p>
      <w:pPr>
        <w:pStyle w:val="620"/>
        <w:ind w:firstLine="284"/>
        <w:jc w:val="center"/>
        <w:shd w:val="clear" w:color="auto" w:fill="ffffff"/>
        <w:rPr>
          <w:szCs w:val="24"/>
        </w:rPr>
      </w:pPr>
      <w:r>
        <w:rPr>
          <w:szCs w:val="16"/>
        </w:rPr>
        <w:t xml:space="preserve">МЕТРОЛОГИЧЕСКОЙ СЛУЖБЫ"</w:t>
      </w:r>
      <w:r/>
    </w:p>
    <w:p>
      <w:pPr>
        <w:pStyle w:val="620"/>
        <w:ind w:firstLine="284"/>
        <w:jc w:val="center"/>
        <w:shd w:val="clear" w:color="auto" w:fill="ffffff"/>
        <w:rPr>
          <w:szCs w:val="16"/>
        </w:rPr>
      </w:pPr>
      <w:r>
        <w:rPr>
          <w:szCs w:val="16"/>
        </w:rPr>
        <w:t xml:space="preserve">ФГУП "ВНИИМС"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</w:r>
      <w:r/>
    </w:p>
    <w:p>
      <w:pPr>
        <w:pStyle w:val="620"/>
        <w:ind w:firstLine="284"/>
        <w:jc w:val="right"/>
        <w:rPr>
          <w:szCs w:val="24"/>
        </w:rPr>
      </w:pPr>
      <w:r>
        <w:rPr>
          <w:szCs w:val="24"/>
        </w:rPr>
      </w:r>
      <w:r>
        <w:rPr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47825" cy="1649095"/>
                <wp:effectExtent l="0" t="0" r="0" b="0"/>
                <wp:docPr id="1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1111119" name="Image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-8" t="-8" r="-7" b="-7"/>
                        <a:stretch/>
                      </pic:blipFill>
                      <pic:spPr bwMode="auto">
                        <a:xfrm>
                          <a:off x="0" y="0"/>
                          <a:ext cx="1647824" cy="1649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9.8pt;height:129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Cs w:val="24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24"/>
        </w:rPr>
      </w:pPr>
      <w:r>
        <w:rPr>
          <w:b/>
          <w:bCs/>
        </w:rPr>
        <w:t xml:space="preserve">Штангенциркули цифровые</w:t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24"/>
          <w:lang w:val="en-US"/>
        </w:rPr>
      </w:pPr>
      <w:r>
        <w:rPr>
          <w:b/>
          <w:bCs/>
          <w:lang w:val="en-US"/>
        </w:rPr>
        <w:t xml:space="preserve">MarCal 16 EWR-C, MarCal 16 EWR-H, MarCal 16 EWR-NA,</w:t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24"/>
          <w:lang w:val="en-US"/>
        </w:rPr>
      </w:pPr>
      <w:r>
        <w:rPr>
          <w:b/>
          <w:bCs/>
          <w:lang w:val="en-US"/>
        </w:rPr>
        <w:t xml:space="preserve">MarCal 16 EWR-AR, MarCal 16 EWR-S, MarCal 16 EWR-SM,</w:t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24"/>
          <w:lang w:val="en-US"/>
        </w:rPr>
      </w:pPr>
      <w:r>
        <w:rPr>
          <w:b/>
          <w:bCs/>
          <w:lang w:val="en-US"/>
        </w:rPr>
        <w:t xml:space="preserve">MarCal 16 EWR-VS, MarCal 16 EWR-BA, MarCal 16 EWR-SA,</w:t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24"/>
          <w:lang w:val="en-US"/>
        </w:rPr>
      </w:pPr>
      <w:r>
        <w:rPr>
          <w:b/>
          <w:bCs/>
          <w:lang w:val="en-US"/>
        </w:rPr>
        <w:t xml:space="preserve">MarCal 16 EWR-AA, MarCal 16 EWR-SI, MarCal 16 EWR-AI,</w:t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24"/>
          <w:lang w:val="en-US"/>
        </w:rPr>
      </w:pPr>
      <w:r>
        <w:rPr>
          <w:b/>
          <w:bCs/>
          <w:lang w:val="en-US"/>
        </w:rPr>
        <w:t xml:space="preserve">MarCal 16 EWR-RW</w:t>
      </w:r>
      <w:r/>
    </w:p>
    <w:p>
      <w:pPr>
        <w:pStyle w:val="620"/>
        <w:ind w:firstLine="284"/>
        <w:jc w:val="center"/>
        <w:shd w:val="clear" w:color="auto" w:fill="ffffff"/>
      </w:pPr>
      <w:r>
        <w:rPr>
          <w:b/>
          <w:bCs/>
          <w:szCs w:val="16"/>
        </w:rPr>
        <w:t xml:space="preserve">фирмы </w:t>
      </w:r>
      <w:r>
        <w:rPr>
          <w:b/>
          <w:bCs/>
          <w:szCs w:val="16"/>
          <w:lang w:val="en-US"/>
        </w:rPr>
        <w:t xml:space="preserve">Mahr</w:t>
      </w:r>
      <w:r>
        <w:rPr>
          <w:b/>
          <w:bCs/>
          <w:szCs w:val="16"/>
        </w:rPr>
        <w:t xml:space="preserve"> </w:t>
      </w:r>
      <w:r>
        <w:rPr>
          <w:b/>
          <w:bCs/>
          <w:szCs w:val="16"/>
          <w:lang w:val="en-US"/>
        </w:rPr>
        <w:t xml:space="preserve">GmbH</w:t>
      </w:r>
      <w:r>
        <w:rPr>
          <w:b/>
          <w:bCs/>
          <w:szCs w:val="16"/>
        </w:rPr>
        <w:t xml:space="preserve">, Германия</w:t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24"/>
        </w:rPr>
      </w:pPr>
      <w:r>
        <w:rPr>
          <w:b/>
          <w:bCs/>
          <w:szCs w:val="24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16"/>
        </w:rPr>
      </w:pPr>
      <w:r>
        <w:rPr>
          <w:b/>
          <w:bCs/>
          <w:szCs w:val="16"/>
        </w:rPr>
        <w:t xml:space="preserve">МЕТОДИКА ПОВЕРКИ</w:t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24"/>
        </w:rPr>
      </w:pPr>
      <w:r>
        <w:rPr>
          <w:b/>
          <w:bCs/>
          <w:szCs w:val="24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bCs/>
          <w:szCs w:val="18"/>
        </w:rPr>
      </w:pPr>
      <w:r>
        <w:rPr>
          <w:b/>
          <w:bCs/>
          <w:szCs w:val="18"/>
        </w:rPr>
        <w:t xml:space="preserve">МП 51480-12</w:t>
      </w:r>
      <w:r/>
    </w:p>
    <w:p>
      <w:pPr>
        <w:pStyle w:val="620"/>
        <w:ind w:firstLine="284"/>
        <w:jc w:val="both"/>
        <w:shd w:val="clear" w:color="auto" w:fill="ffffff"/>
        <w:rPr>
          <w:b/>
          <w:bCs/>
          <w:szCs w:val="18"/>
        </w:rPr>
      </w:pPr>
      <w:r>
        <w:rPr>
          <w:b/>
          <w:bCs/>
          <w:szCs w:val="18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Настоящая методика поверки распространяйся на штангенциркули цифровые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C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H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NA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AR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SM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VS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</w:t>
      </w:r>
      <w:r>
        <w:rPr>
          <w:szCs w:val="16"/>
        </w:rPr>
        <w:t xml:space="preserve">1,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AL</w:t>
      </w:r>
      <w:r>
        <w:rPr>
          <w:szCs w:val="16"/>
        </w:rPr>
        <w:t xml:space="preserve">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RW</w:t>
      </w:r>
      <w:r>
        <w:rPr>
          <w:szCs w:val="16"/>
        </w:rPr>
        <w:t xml:space="preserve"> (далее - штангенциркули), выпускаемые по технической документации фирмы-производителя, и устанавливает методы и средства их первичной и периодической поверок.</w:t>
      </w:r>
      <w:r/>
    </w:p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  <w:t xml:space="preserve">Интервал между поверками равен 1 году.</w:t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24"/>
        </w:rPr>
      </w:pPr>
      <w:r>
        <w:rPr>
          <w:b/>
          <w:szCs w:val="24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24"/>
        </w:rPr>
      </w:pPr>
      <w:r>
        <w:rPr>
          <w:b/>
          <w:szCs w:val="24"/>
        </w:rPr>
      </w:r>
      <w:r/>
    </w:p>
    <w:p>
      <w:pPr>
        <w:pStyle w:val="620"/>
        <w:ind w:firstLine="284"/>
        <w:jc w:val="center"/>
        <w:shd w:val="clear" w:color="auto" w:fill="ffffff"/>
        <w:rPr>
          <w:bCs/>
          <w:szCs w:val="16"/>
        </w:rPr>
      </w:pPr>
      <w:r>
        <w:rPr>
          <w:b/>
          <w:szCs w:val="16"/>
        </w:rPr>
        <w:t xml:space="preserve">1. ОПЕРАЦИИ И СРЕДСТВА ПОВЕРКИ</w:t>
      </w:r>
      <w:r/>
    </w:p>
    <w:p>
      <w:pPr>
        <w:pStyle w:val="620"/>
        <w:ind w:firstLine="284"/>
        <w:jc w:val="both"/>
        <w:shd w:val="clear" w:color="auto" w:fill="ffffff"/>
        <w:rPr>
          <w:bCs/>
          <w:szCs w:val="24"/>
        </w:rPr>
      </w:pPr>
      <w:r>
        <w:rPr>
          <w:bCs/>
          <w:szCs w:val="24"/>
        </w:rPr>
      </w:r>
      <w:r/>
    </w:p>
    <w:p>
      <w:pPr>
        <w:pStyle w:val="620"/>
        <w:ind w:firstLine="284"/>
        <w:jc w:val="both"/>
        <w:shd w:val="clear" w:color="auto" w:fill="ffffff"/>
      </w:pPr>
      <w:r>
        <w:rPr>
          <w:bCs/>
          <w:szCs w:val="16"/>
        </w:rPr>
        <w:t xml:space="preserve">1.1. </w:t>
      </w:r>
      <w:r>
        <w:rPr>
          <w:szCs w:val="16"/>
        </w:rPr>
        <w:t xml:space="preserve">При проведении поверки должны быть выполнены операции и применены средства поверки, указанные в таблице 1.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</w:r>
      <w:r/>
    </w:p>
    <w:p>
      <w:pPr>
        <w:pStyle w:val="620"/>
        <w:ind w:firstLine="284"/>
        <w:jc w:val="right"/>
        <w:shd w:val="clear" w:color="auto" w:fill="ffffff"/>
        <w:rPr>
          <w:szCs w:val="16"/>
        </w:rPr>
      </w:pPr>
      <w:r>
        <w:rPr>
          <w:szCs w:val="16"/>
        </w:rPr>
        <w:t xml:space="preserve">Таблица 1</w:t>
      </w:r>
      <w:r/>
    </w:p>
    <w:p>
      <w:pPr>
        <w:pStyle w:val="620"/>
        <w:ind w:firstLine="284"/>
        <w:jc w:val="right"/>
        <w:shd w:val="clear" w:color="auto" w:fill="ffffff"/>
        <w:rPr>
          <w:szCs w:val="24"/>
        </w:rPr>
      </w:pPr>
      <w:r>
        <w:rPr>
          <w:szCs w:val="24"/>
        </w:rPr>
      </w:r>
      <w:r/>
    </w:p>
    <w:tbl>
      <w:tblPr>
        <w:tblW w:w="5000" w:type="pct"/>
        <w:tblInd w:w="-4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470"/>
        <w:gridCol w:w="951"/>
        <w:gridCol w:w="3070"/>
        <w:gridCol w:w="983"/>
        <w:gridCol w:w="838"/>
      </w:tblGrid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70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16"/>
              </w:rPr>
              <w:t xml:space="preserve">Наименование операции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51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16"/>
              </w:rPr>
              <w:t xml:space="preserve">Номер пункта </w:t>
            </w:r>
            <w:r>
              <w:rPr>
                <w:sz w:val="18"/>
                <w:szCs w:val="12"/>
              </w:rPr>
              <w:t xml:space="preserve">методики </w:t>
            </w:r>
            <w:r>
              <w:rPr>
                <w:sz w:val="18"/>
                <w:szCs w:val="16"/>
              </w:rPr>
              <w:t xml:space="preserve">поверки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070" w:type="dxa"/>
            <w:vAlign w:val="center"/>
            <w:vMerge w:val="restart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16"/>
              </w:rPr>
              <w:t xml:space="preserve">Средства поверки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21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16"/>
              </w:rPr>
              <w:t xml:space="preserve">Проведение операции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470" w:type="dxa"/>
            <w:vAlign w:val="center"/>
            <w:vMerge w:val="continue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951" w:type="dxa"/>
            <w:vAlign w:val="center"/>
            <w:vMerge w:val="continue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3070" w:type="dxa"/>
            <w:vAlign w:val="center"/>
            <w:vMerge w:val="continue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16"/>
              </w:rPr>
              <w:t xml:space="preserve">первичной поверке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периоди</w:t>
            </w:r>
            <w:r/>
          </w:p>
          <w:p>
            <w:pPr>
              <w:pStyle w:val="620"/>
              <w:jc w:val="center"/>
              <w:shd w:val="clear" w:color="auto" w:fill="ffffff"/>
              <w:rPr>
                <w:sz w:val="18"/>
                <w:szCs w:val="24"/>
              </w:rPr>
            </w:pPr>
            <w:r>
              <w:rPr>
                <w:sz w:val="18"/>
                <w:szCs w:val="16"/>
              </w:rPr>
              <w:t xml:space="preserve">ческой поверке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1. Внешний осмотр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5.1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Визуально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2. Опробование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iCs/>
                <w:szCs w:val="16"/>
              </w:rPr>
              <w:t xml:space="preserve">5.2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Визуально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3 Определение длины вылета губок штангенциркулей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5.3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Металлическая измерительная линейка с пределом измерений до 150 мм по ГОСТ 427-75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нет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4. Контроль шероховатости измерительных поверхностей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5.4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16"/>
                <w:lang w:val="en-US"/>
              </w:rPr>
            </w:pPr>
            <w:r>
              <w:rPr>
                <w:szCs w:val="16"/>
              </w:rPr>
              <w:t xml:space="preserve">Профилометр по ГОСТ 19300-86 или образцы шероховатости плоские с параметрами </w:t>
            </w:r>
            <w:r>
              <w:rPr>
                <w:i/>
                <w:iCs/>
                <w:szCs w:val="16"/>
                <w:lang w:val="en-US"/>
              </w:rPr>
              <w:t xml:space="preserve">Ra</w:t>
            </w:r>
            <w:r>
              <w:rPr>
                <w:szCs w:val="16"/>
              </w:rPr>
              <w:t xml:space="preserve"> = 0,32 мкм и </w:t>
            </w:r>
            <w:r>
              <w:rPr>
                <w:i/>
                <w:szCs w:val="16"/>
                <w:lang w:val="en-US"/>
              </w:rPr>
              <w:t xml:space="preserve">Ra</w:t>
            </w:r>
            <w:r>
              <w:rPr>
                <w:iCs/>
                <w:szCs w:val="16"/>
              </w:rPr>
              <w:t xml:space="preserve"> = 0,63 </w:t>
            </w:r>
            <w:r>
              <w:rPr>
                <w:szCs w:val="16"/>
              </w:rPr>
              <w:t xml:space="preserve">мкм по ГОСТ 9378-93</w:t>
            </w:r>
            <w:r/>
          </w:p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нет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 Отклонения от плоскостности и прямолинейности измерительных поверхностей губок, а также торца штанги штангенциркулей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5.5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Лекальная линейка типа ЛД, класс точно</w:t>
            </w:r>
            <w:r>
              <w:rPr>
                <w:szCs w:val="16"/>
              </w:rPr>
              <w:t xml:space="preserve">сти 1 по ГОСТ 8026-92, образец просвета из плоскопараллельных концевых мер длины образцовых 5-го разряда по МИ 1604-87 и плоской стеклянной пластины типа ПИ 60 мм, с отклонением от плоскостности не более 0,09 мм или брусок для определения значения просвета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6. Определение отклонения от параллельности плоских измерительных поверхностей губок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5.6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Плоскопараллельные концевые меры длины образцовые 5-го разряда по МИ 1604-87 или класса точности 3 по ГОСТ 9038-90 ролик диаметром 5,493 мм, класс точности 2 по ГОСТ 2475-88 для образца просвета: лекальная линейка типа ЛД, класс точности 1 по ГОСТ 8026</w:t>
            </w:r>
            <w:r>
              <w:rPr>
                <w:szCs w:val="16"/>
              </w:rPr>
              <w:t xml:space="preserve">-92; плоскопараллельные концевые меры длины образцовые 5-го разряда по МИ 1604-87 или класса точности 3 по ГОСТ 9038-90 и плоская стеклянная пластина типа ПИ 60 мм с отклонением от плоскостности не более 0,09 мм или брусок для определения значения просвета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7. Определение допускаемой абсолютной погрешности штангенциркулей при измерении глубины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5.7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Плоскопараллельные концевы</w:t>
            </w:r>
            <w:r>
              <w:rPr>
                <w:szCs w:val="16"/>
              </w:rPr>
              <w:t xml:space="preserve">е меры длины 20 мм образцовые 5-го разряда по МИ 1604-87 или класса точности 3 по ГОСТ 9038-90 плоская стеклянная пластина типа ПИ 60 мм, класс точности 2 и отклонением от плоскостности не более 0,09 мм или плита исполнения 2, класс точности 1 размером 250</w:t>
            </w:r>
            <w:r>
              <w:rPr>
                <w:rFonts w:ascii="Symbol" w:hAnsi="Symbol" w:eastAsia="Symbol" w:cs="Symbol"/>
                <w:szCs w:val="16"/>
              </w:rPr>
              <w:t xml:space="preserve"></w:t>
            </w:r>
            <w:r>
              <w:rPr>
                <w:szCs w:val="16"/>
              </w:rPr>
              <w:t xml:space="preserve">250 мм по ГОСТ 10905-86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8. Определение угла заострения измерительных губок у штангенциркулей </w:t>
            </w:r>
            <w:r>
              <w:rPr>
                <w:szCs w:val="16"/>
                <w:lang w:val="en-US"/>
              </w:rPr>
              <w:t xml:space="preserve">MarCal</w:t>
            </w:r>
            <w:r>
              <w:rPr>
                <w:szCs w:val="16"/>
              </w:rPr>
              <w:t xml:space="preserve"> 16 </w:t>
            </w:r>
            <w:r>
              <w:rPr>
                <w:szCs w:val="16"/>
                <w:lang w:val="en-US"/>
              </w:rPr>
              <w:t xml:space="preserve">EWR</w:t>
            </w:r>
            <w:r>
              <w:rPr>
                <w:szCs w:val="16"/>
              </w:rPr>
              <w:t xml:space="preserve">-</w:t>
            </w:r>
            <w:r>
              <w:rPr>
                <w:szCs w:val="16"/>
                <w:lang w:val="en-US"/>
              </w:rPr>
              <w:t xml:space="preserve">BA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5.8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Микроскоп инструментальный по ГОСТ 8074-82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9 Определение допускаемой абсолютной погрешности штангенциркуля при измерении наружных размеров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5.9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Плоскопараллельные концевые меры длины образцовые 5-го разряда по МИ 1604-87 или класса точности 3 по ГОСТ 9038-90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10. Определение допускаемой абсолютной погрешности штангенциркулей при измерении внутренних размеров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5.10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Кольца установочные с пределом допускаемого отклонения диаметра отверстия не более </w:t>
            </w:r>
            <w:r>
              <w:rPr>
                <w:rFonts w:ascii="Symbol" w:hAnsi="Symbol" w:eastAsia="Symbol" w:cs="Symbol"/>
                <w:szCs w:val="16"/>
              </w:rPr>
              <w:t xml:space="preserve"></w:t>
            </w:r>
            <w:r>
              <w:rPr>
                <w:szCs w:val="16"/>
              </w:rPr>
              <w:t xml:space="preserve">0,01 мм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4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11. Определение идентификационных данных программного обеспечения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51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5.11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70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3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да</w:t>
            </w:r>
            <w:r/>
          </w:p>
        </w:tc>
      </w:tr>
    </w:tbl>
    <w:p>
      <w:pPr>
        <w:pStyle w:val="620"/>
      </w:pPr>
      <w:r/>
      <w:r/>
    </w:p>
    <w:p>
      <w:pPr>
        <w:pStyle w:val="620"/>
        <w:ind w:firstLine="284"/>
        <w:jc w:val="both"/>
        <w:shd w:val="clear" w:color="auto" w:fill="ffffff"/>
        <w:rPr>
          <w:sz w:val="18"/>
          <w:szCs w:val="16"/>
          <w:lang w:val="en-US"/>
        </w:rPr>
      </w:pPr>
      <w:r>
        <w:rPr>
          <w:iCs/>
          <w:sz w:val="18"/>
          <w:szCs w:val="16"/>
        </w:rPr>
        <w:t xml:space="preserve">Примечание: </w:t>
      </w:r>
      <w:r>
        <w:rPr>
          <w:sz w:val="18"/>
          <w:szCs w:val="16"/>
        </w:rPr>
        <w:t xml:space="preserve">Допускается применять другие, вновь разработанные или находящиеся в применении средства поверки, удовлетворяющие по точности требованиям настоящей методики и прошедшие поверку в органах метрологической службы.</w:t>
      </w:r>
      <w:r/>
    </w:p>
    <w:p>
      <w:pPr>
        <w:pStyle w:val="620"/>
        <w:ind w:firstLine="284"/>
        <w:jc w:val="both"/>
        <w:shd w:val="clear" w:color="auto" w:fill="ffffff"/>
        <w:rPr>
          <w:sz w:val="18"/>
          <w:szCs w:val="24"/>
          <w:lang w:val="en-US"/>
        </w:rPr>
      </w:pPr>
      <w:r>
        <w:rPr>
          <w:sz w:val="18"/>
          <w:szCs w:val="24"/>
          <w:lang w:val="en-US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16"/>
          <w:lang w:val="en-US"/>
        </w:rPr>
      </w:pPr>
      <w:r>
        <w:rPr>
          <w:b/>
          <w:szCs w:val="16"/>
        </w:rPr>
        <w:t xml:space="preserve">2. ТРЕБОВАНИЯ БЕЗОПАСНОСТИ</w:t>
      </w:r>
      <w:r/>
    </w:p>
    <w:p>
      <w:pPr>
        <w:pStyle w:val="620"/>
        <w:ind w:firstLine="284"/>
        <w:jc w:val="both"/>
        <w:shd w:val="clear" w:color="auto" w:fill="ffffff"/>
        <w:rPr>
          <w:b/>
          <w:szCs w:val="24"/>
          <w:lang w:val="en-US"/>
        </w:rPr>
      </w:pPr>
      <w:r>
        <w:rPr>
          <w:b/>
          <w:szCs w:val="24"/>
          <w:lang w:val="en-US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При проведении поверки штангенциркулей должны соблюдаться следующие требования: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- при подготовке к проведению поверки должны быть соблюдены требования пожарной безопасности при работе с легковоспламеняющимися жидкостями, к которым относится бензин, используемый для промывки;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- бензин хранят в металлической посуде, плотно закрытой металлической крышкой, в количестве не более однодневной нормы, требуемой для промывки;</w:t>
      </w:r>
      <w:r/>
    </w:p>
    <w:p>
      <w:pPr>
        <w:pStyle w:val="620"/>
        <w:ind w:firstLine="284"/>
        <w:jc w:val="both"/>
        <w:shd w:val="clear" w:color="auto" w:fill="ffffff"/>
        <w:rPr>
          <w:szCs w:val="16"/>
          <w:lang w:val="en-US"/>
        </w:rPr>
      </w:pPr>
      <w:r>
        <w:rPr>
          <w:szCs w:val="16"/>
        </w:rPr>
        <w:t xml:space="preserve">- промывку проводят в резиновых технических перчатках типа </w:t>
      </w:r>
      <w:r>
        <w:rPr>
          <w:szCs w:val="16"/>
          <w:lang w:val="en-US"/>
        </w:rPr>
        <w:t xml:space="preserve">II</w:t>
      </w:r>
      <w:r>
        <w:rPr>
          <w:szCs w:val="16"/>
        </w:rPr>
        <w:t xml:space="preserve"> по ГОСТ 20010-93.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  <w:lang w:val="en-US"/>
        </w:rPr>
      </w:pPr>
      <w:r>
        <w:rPr>
          <w:szCs w:val="24"/>
          <w:lang w:val="en-US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16"/>
          <w:lang w:val="en-US"/>
        </w:rPr>
      </w:pPr>
      <w:r>
        <w:rPr>
          <w:b/>
          <w:szCs w:val="16"/>
        </w:rPr>
        <w:t xml:space="preserve">3. УСЛОВИЯ ПОВЕРКИ</w:t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24"/>
          <w:lang w:val="en-US"/>
        </w:rPr>
      </w:pPr>
      <w:r>
        <w:rPr>
          <w:b/>
          <w:szCs w:val="24"/>
          <w:lang w:val="en-US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  <w:t xml:space="preserve">3.1. Всю поверку штангенциркулей, следует проводить в нормальных условиях применения приборов:</w:t>
      </w:r>
      <w:r/>
    </w:p>
    <w:tbl>
      <w:tblPr>
        <w:tblW w:w="5000" w:type="pct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6080"/>
        <w:gridCol w:w="2232"/>
      </w:tblGrid>
      <w:tr>
        <w:trPr>
          <w:cantSplit/>
        </w:trPr>
        <w:tc>
          <w:tcPr>
            <w:shd w:val="clear" w:color="auto" w:fill="ffffff"/>
            <w:tcW w:w="6080" w:type="dxa"/>
            <w:textDirection w:val="lrTb"/>
            <w:noWrap w:val="false"/>
          </w:tcPr>
          <w:p>
            <w:pPr>
              <w:pStyle w:val="620"/>
              <w:ind w:firstLine="284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температура окружающего воздуха, °С</w:t>
            </w:r>
            <w:r/>
          </w:p>
        </w:tc>
        <w:tc>
          <w:tcPr>
            <w:shd w:val="clear" w:color="auto" w:fill="ffffff"/>
            <w:tcW w:w="223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(20</w:t>
            </w:r>
            <w:r>
              <w:rPr>
                <w:rFonts w:ascii="Symbol" w:hAnsi="Symbol" w:eastAsia="Symbol" w:cs="Symbol"/>
                <w:szCs w:val="16"/>
              </w:rPr>
              <w:t xml:space="preserve"></w:t>
            </w:r>
            <w:r>
              <w:rPr>
                <w:szCs w:val="16"/>
              </w:rPr>
              <w:t xml:space="preserve">5)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W w:w="6080" w:type="dxa"/>
            <w:textDirection w:val="lrTb"/>
            <w:noWrap w:val="false"/>
          </w:tcPr>
          <w:p>
            <w:pPr>
              <w:pStyle w:val="620"/>
              <w:ind w:firstLine="284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относительная влажность окружающего воздуха, %</w:t>
            </w:r>
            <w:r/>
          </w:p>
        </w:tc>
        <w:tc>
          <w:tcPr>
            <w:shd w:val="clear" w:color="auto" w:fill="ffffff"/>
            <w:tcW w:w="223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45...80</w:t>
            </w:r>
            <w:r/>
          </w:p>
        </w:tc>
      </w:tr>
    </w:tbl>
    <w:p>
      <w:pPr>
        <w:pStyle w:val="620"/>
        <w:ind w:firstLine="284"/>
        <w:jc w:val="both"/>
        <w:shd w:val="clear" w:color="auto" w:fill="ffffff"/>
        <w:rPr>
          <w:bCs/>
          <w:szCs w:val="16"/>
          <w:lang w:val="en-US"/>
        </w:rPr>
      </w:pPr>
      <w:r>
        <w:rPr>
          <w:bCs/>
          <w:szCs w:val="16"/>
          <w:lang w:val="en-US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16"/>
          <w:lang w:val="en-US"/>
        </w:rPr>
      </w:pPr>
      <w:r>
        <w:rPr>
          <w:b/>
          <w:szCs w:val="16"/>
        </w:rPr>
        <w:t xml:space="preserve">4. ПОДГОТОВКА К ПОВЕРКЕ</w:t>
      </w:r>
      <w:r/>
    </w:p>
    <w:p>
      <w:pPr>
        <w:pStyle w:val="620"/>
        <w:ind w:firstLine="284"/>
        <w:jc w:val="both"/>
        <w:shd w:val="clear" w:color="auto" w:fill="ffffff"/>
        <w:rPr>
          <w:b/>
          <w:szCs w:val="24"/>
          <w:lang w:val="en-US"/>
        </w:rPr>
      </w:pPr>
      <w:r>
        <w:rPr>
          <w:b/>
          <w:szCs w:val="24"/>
          <w:lang w:val="en-US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16"/>
          <w:lang w:val="en-US"/>
        </w:rPr>
      </w:pPr>
      <w:r>
        <w:rPr>
          <w:szCs w:val="16"/>
        </w:rPr>
        <w:t xml:space="preserve">Перед проведением поверки промывают штангенциркули, образцовые меры и средства поверки приводят в рабочее состояние методами, указанными в технической документации на них Все детали штангенциркуля должны быть размагничены.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  <w:lang w:val="en-US"/>
        </w:rPr>
      </w:pPr>
      <w:r>
        <w:rPr>
          <w:szCs w:val="24"/>
          <w:lang w:val="en-US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16"/>
          <w:lang w:val="en-US"/>
        </w:rPr>
      </w:pPr>
      <w:r>
        <w:rPr>
          <w:b/>
          <w:szCs w:val="16"/>
        </w:rPr>
        <w:t xml:space="preserve">5. ПРОВЕДЕНИЕ ПОВЕРКИ</w:t>
      </w:r>
      <w:r/>
    </w:p>
    <w:p>
      <w:pPr>
        <w:pStyle w:val="620"/>
        <w:ind w:firstLine="284"/>
        <w:jc w:val="both"/>
        <w:shd w:val="clear" w:color="auto" w:fill="ffffff"/>
        <w:rPr>
          <w:b/>
          <w:szCs w:val="24"/>
          <w:lang w:val="en-US"/>
        </w:rPr>
      </w:pPr>
      <w:r>
        <w:rPr>
          <w:b/>
          <w:szCs w:val="24"/>
          <w:lang w:val="en-US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5.1. Проверку по п. 5.1. (далее нумерация согласно таблицы 1) на соответствие инструмента комплекту документации, комплектности и маркировки производить путем визуального сличения.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При внешнем осмотре должно быть установлено: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- наличие зажимного устройства для зажима рамки, наличие керамических вставок в плоские измерительные поверхности (для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C</w:t>
      </w:r>
      <w:r>
        <w:rPr>
          <w:szCs w:val="16"/>
        </w:rPr>
        <w:t xml:space="preserve">), наличие твердосплавных вставок в плоские измерительные поверхности (для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-Н), наличие регулируемой по длине измерительной губки и зажимного винта к ней (для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VS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).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Не допускаются: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- заметные при визуальном осмотре дефекты, ухудшающие эксплуатационные качества и препятствующие отсчету показаний.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Штангенциркуль считается прошедшей поверку, если он удовлетворяет вышеперечисленным требованиям.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5.2. При опробовании проверяют: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- плавность перемещения рамки по штанге штангенциркуля;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- отсутствие перемещения рамки под действием собственной массы;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- возможность зажима рамки в любом положении в пределах диапазона измерений.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Штангенциркуль считается прошедшем поверку, если он удовлетворяет вышеперечисленным требованиям.</w:t>
      </w:r>
      <w:r/>
    </w:p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  <w:t xml:space="preserve">5.3. Длину вылета губок определяют при помощи металлической измерительной линейки. Длина вылета губок для наружных и внутренних измерений не должна превышать значений, указанных в таблице 2.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</w:r>
      <w:r/>
    </w:p>
    <w:p>
      <w:pPr>
        <w:pStyle w:val="620"/>
        <w:ind w:firstLine="284"/>
        <w:jc w:val="right"/>
        <w:shd w:val="clear" w:color="auto" w:fill="ffffff"/>
        <w:rPr>
          <w:szCs w:val="16"/>
        </w:rPr>
      </w:pPr>
      <w:r>
        <w:rPr>
          <w:szCs w:val="16"/>
        </w:rPr>
        <w:t xml:space="preserve">Таблица 2</w:t>
      </w:r>
      <w:r/>
    </w:p>
    <w:p>
      <w:pPr>
        <w:pStyle w:val="620"/>
        <w:ind w:firstLine="284"/>
        <w:jc w:val="right"/>
        <w:shd w:val="clear" w:color="auto" w:fill="ffffff"/>
        <w:rPr>
          <w:szCs w:val="24"/>
        </w:rPr>
      </w:pPr>
      <w:r>
        <w:rPr>
          <w:szCs w:val="24"/>
        </w:rPr>
      </w:r>
      <w:r/>
    </w:p>
    <w:tbl>
      <w:tblPr>
        <w:tblW w:w="5000" w:type="pct"/>
        <w:tblInd w:w="-4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571"/>
        <w:gridCol w:w="2975"/>
        <w:gridCol w:w="2766"/>
      </w:tblGrid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Модель штангенциркулей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Длина вылета губок для наружных измерений, мм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Длина вылета губок для внутренних измерений, мм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EWR-C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16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EWR-H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16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16"/>
              </w:rPr>
            </w:pPr>
            <w:r>
              <w:rPr>
                <w:szCs w:val="16"/>
                <w:lang w:val="en-US"/>
              </w:rPr>
              <w:t xml:space="preserve">MarCal 16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  <w:lang w:val="en-US"/>
              </w:rPr>
              <w:t xml:space="preserve">EWR-NA</w:t>
            </w:r>
            <w:r/>
          </w:p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16,5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EWR-AR: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неподвижная губка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33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16,5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подвижная губка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16,5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EWR-SM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16,5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EWR-VS: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регулируемая губка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65 (общая длина 105)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19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подвижная губка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50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EWR-BA: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регулируемая губка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общая длина 75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подвижная губка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30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EWR-SI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EWR-AI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-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EWR-RW: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неподвижная губка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33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71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- подвижная губка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975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40</w:t>
            </w:r>
            <w:r/>
          </w:p>
        </w:tc>
        <w:tc>
          <w:tcPr>
            <w:shd w:val="clear" w:color="auto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6" w:type="dxa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</w:r>
            <w:r/>
          </w:p>
        </w:tc>
      </w:tr>
    </w:tbl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5.4. Шероховатость измерительных поверхностей контролируют по параметру </w:t>
      </w:r>
      <w:r>
        <w:rPr>
          <w:i/>
          <w:szCs w:val="16"/>
          <w:lang w:val="en-US"/>
        </w:rPr>
        <w:t xml:space="preserve">Ra</w:t>
      </w:r>
      <w:r>
        <w:rPr>
          <w:iCs/>
          <w:szCs w:val="16"/>
        </w:rPr>
        <w:t xml:space="preserve"> </w:t>
      </w:r>
      <w:r>
        <w:rPr>
          <w:szCs w:val="16"/>
        </w:rPr>
        <w:t xml:space="preserve">при помощи профилометра или сравнением с образцами шероховатости.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Шероховатость рабочих измерительных поверхностей не должна превышать </w:t>
      </w:r>
      <w:r>
        <w:rPr>
          <w:i/>
          <w:szCs w:val="16"/>
          <w:lang w:val="en-US"/>
        </w:rPr>
        <w:t xml:space="preserve">Ra</w:t>
      </w:r>
      <w:r>
        <w:rPr>
          <w:szCs w:val="16"/>
        </w:rPr>
        <w:t xml:space="preserve"> = 0,32 мкм, нерабочих поверхностей - </w:t>
      </w:r>
      <w:r>
        <w:rPr>
          <w:i/>
          <w:szCs w:val="16"/>
          <w:lang w:val="en-US"/>
        </w:rPr>
        <w:t xml:space="preserve">Ra</w:t>
      </w:r>
      <w:r>
        <w:rPr>
          <w:iCs/>
          <w:szCs w:val="16"/>
        </w:rPr>
        <w:t xml:space="preserve"> = 0,63 </w:t>
      </w:r>
      <w:r>
        <w:rPr>
          <w:szCs w:val="16"/>
        </w:rPr>
        <w:t xml:space="preserve">мкм.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Допускается у штангенциркулей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 параметр шероховатости рабочих поверхностей не контролировать.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5.5. Отклонения от плоскостности и прямолинейности измерительных поверхностей губок (кроме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AI</w:t>
      </w:r>
      <w:r>
        <w:rPr>
          <w:szCs w:val="16"/>
        </w:rPr>
        <w:t xml:space="preserve">), а также торца штанги штангенциркулей (кроме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RW</w:t>
      </w:r>
      <w:r>
        <w:rPr>
          <w:szCs w:val="16"/>
        </w:rPr>
        <w:t xml:space="preserve">) определяют лекальной линейкой.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У штангенциркулей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AI</w:t>
      </w:r>
      <w:r>
        <w:rPr>
          <w:szCs w:val="16"/>
        </w:rPr>
        <w:t xml:space="preserve"> отклонение от плоскостности и прямолинейности определяют по внутренним поверхностям измерительных губок.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Ребро лекальной линейки устанавливают на торец штанги и </w:t>
      </w:r>
      <w:r>
        <w:rPr>
          <w:bCs/>
          <w:szCs w:val="16"/>
        </w:rPr>
        <w:t xml:space="preserve">измерительную </w:t>
      </w:r>
      <w:r>
        <w:rPr>
          <w:szCs w:val="16"/>
        </w:rPr>
        <w:t xml:space="preserve">поверхность губок параллельно длинному ребру.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Значение просвета определяют визуально - сравнением его с образцом или бруском для определения значения просвета. Отклонение от </w:t>
      </w:r>
      <w:r>
        <w:rPr>
          <w:bCs/>
          <w:szCs w:val="16"/>
        </w:rPr>
        <w:t xml:space="preserve">плоскостности </w:t>
      </w:r>
      <w:r>
        <w:rPr>
          <w:szCs w:val="16"/>
        </w:rPr>
        <w:t xml:space="preserve">и прямолинейности плоских измерительных поверхностей не должно </w:t>
      </w:r>
      <w:r>
        <w:rPr>
          <w:bCs/>
          <w:szCs w:val="16"/>
        </w:rPr>
        <w:t xml:space="preserve">превышать </w:t>
      </w:r>
      <w:r>
        <w:rPr>
          <w:szCs w:val="16"/>
        </w:rPr>
        <w:t xml:space="preserve">0,005 мм Отклонение от прямолинейности торца штангенциркулей не должно превышать 0,01 мм.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5.6. Отклонение от параллельности плоских измерительных поверхностей губок определяют при помощи концевых мер дайны и ролика при трех положениях подвижно губки, близких к пределам измерений и середине диапазона измерений штангенциркуля (кроме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).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За отклонение от параллельности плоских измерительных поверхностей губок принимают наибольшую разность измеренных расстояний при каждом положении губки, которая не должна превышать 0,02 мм.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Допускается при первичной и периодической поверках у </w:t>
      </w:r>
      <w:r>
        <w:rPr>
          <w:bCs/>
          <w:szCs w:val="16"/>
        </w:rPr>
        <w:t xml:space="preserve">штангенциркулей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bCs/>
          <w:szCs w:val="16"/>
          <w:lang w:val="en-US"/>
        </w:rPr>
        <w:t xml:space="preserve">EWR</w:t>
      </w:r>
      <w:r>
        <w:rPr>
          <w:bCs/>
          <w:szCs w:val="16"/>
        </w:rPr>
        <w:t xml:space="preserve">-</w:t>
      </w:r>
      <w:r>
        <w:rPr>
          <w:bCs/>
          <w:szCs w:val="16"/>
          <w:lang w:val="en-US"/>
        </w:rPr>
        <w:t xml:space="preserve">AI</w:t>
      </w:r>
      <w:r>
        <w:rPr>
          <w:bCs/>
          <w:szCs w:val="16"/>
        </w:rPr>
        <w:t xml:space="preserve"> </w:t>
      </w:r>
      <w:r>
        <w:rPr>
          <w:szCs w:val="16"/>
        </w:rPr>
        <w:t xml:space="preserve">определять отклонение от параллельности губок по просвету между сдвинутыми губками как при затянутом, так и при незатянутом зажиме рамки. При этом значение просвета не должно превышать 0,02 мм.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Допускается при первичной поверке штангенциркулей (кроме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) определять отклонение от параллельности губок по просвету между измерительными поверхностями при сдвинутых губках, как при незатянутом, так и при затянутом зажиме рамки. При этом значение просвета не должно превышать 0,02 мм.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Значение просвета определяют визуально сравнением с образцом или бруском для определения значения просвета.</w:t>
      </w:r>
      <w:r/>
    </w:p>
    <w:p>
      <w:pPr>
        <w:pStyle w:val="620"/>
        <w:ind w:firstLine="284"/>
        <w:jc w:val="both"/>
        <w:shd w:val="clear" w:color="auto" w:fill="ffffff"/>
      </w:pPr>
      <w:r>
        <w:rPr>
          <w:szCs w:val="16"/>
        </w:rPr>
        <w:t xml:space="preserve">5.7. Допускаемую абсолютную погрешность штангенциркулей при измерении глубины определяют по концевым мерам длиной 20 мм (кроме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RW</w:t>
      </w:r>
      <w:r>
        <w:rPr>
          <w:szCs w:val="16"/>
        </w:rPr>
        <w:t xml:space="preserve">). Торец штанги прижимают</w:t>
      </w:r>
      <w:r>
        <w:rPr>
          <w:szCs w:val="16"/>
        </w:rPr>
        <w:t xml:space="preserve"> к измерительным поверхностям концевых мер. Линейку глубиномера перемещают до соприкосновения с плоскостью стекла или плиты и производят отсчет. Допускаемая абсолютная погрешность штангенциркуля при измерении глубины не должна превышать значений указанных </w:t>
      </w:r>
      <w:r>
        <w:rPr>
          <w:bCs/>
          <w:szCs w:val="16"/>
        </w:rPr>
        <w:t xml:space="preserve">в </w:t>
      </w:r>
      <w:r>
        <w:rPr>
          <w:szCs w:val="16"/>
        </w:rPr>
        <w:t xml:space="preserve">таблице 3.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</w:r>
      <w:r/>
    </w:p>
    <w:p>
      <w:pPr>
        <w:pStyle w:val="620"/>
        <w:ind w:firstLine="284"/>
        <w:jc w:val="right"/>
        <w:shd w:val="clear" w:color="auto" w:fill="ffffff"/>
        <w:rPr>
          <w:szCs w:val="16"/>
        </w:rPr>
      </w:pPr>
      <w:r>
        <w:rPr>
          <w:szCs w:val="16"/>
        </w:rPr>
        <w:t xml:space="preserve">Таблица 3</w:t>
      </w:r>
      <w:r/>
    </w:p>
    <w:p>
      <w:pPr>
        <w:pStyle w:val="620"/>
        <w:ind w:firstLine="284"/>
        <w:jc w:val="right"/>
        <w:shd w:val="clear" w:color="auto" w:fill="ffffff"/>
        <w:rPr>
          <w:szCs w:val="24"/>
        </w:rPr>
      </w:pPr>
      <w:r>
        <w:rPr>
          <w:szCs w:val="24"/>
        </w:rPr>
      </w:r>
      <w:r/>
    </w:p>
    <w:tbl>
      <w:tblPr>
        <w:tblW w:w="5000" w:type="pct"/>
        <w:tblInd w:w="-4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6"/>
        <w:gridCol w:w="2703"/>
        <w:gridCol w:w="2763"/>
      </w:tblGrid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Модель штангенциркулей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Диапазон измерений глубины, мм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Пределы допускаемой абсолютной погрешности, мм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EWR-C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EWR-H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EWR-NA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EWR-AR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200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EWR-SM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EWR-VS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200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6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EWR-BA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0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210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rFonts w:ascii="Symbol" w:hAnsi="Symbol" w:eastAsia="Symbol" w:cs="Symbol"/>
                <w:szCs w:val="16"/>
              </w:rPr>
              <w:t xml:space="preserve"></w:t>
            </w:r>
            <w:r>
              <w:rPr>
                <w:szCs w:val="16"/>
              </w:rPr>
              <w:t xml:space="preserve">0,05</w:t>
            </w:r>
            <w:r/>
          </w:p>
        </w:tc>
      </w:tr>
    </w:tbl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5.8. Для измерения угла заострения измерительных губок у штангенциркулей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 применяют инструментальный микроскоп. Угол заострения измерительных губок должен быть 60°.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5.9. Допускаемую абсолютную погрешность штангенц</w:t>
      </w:r>
      <w:r>
        <w:rPr>
          <w:szCs w:val="16"/>
        </w:rPr>
        <w:t xml:space="preserve">иркулей при измерении наружных размеров определяют по концевым мерам длины. Блок концевых мер длины помещают между измерительными поверхностями губок штангенциркуля. Усилие сдвигания губок должно обеспечивать нормальное скольжение измерительных поверхносте</w:t>
      </w:r>
      <w:r>
        <w:rPr>
          <w:szCs w:val="16"/>
        </w:rPr>
        <w:t xml:space="preserve">й губок по измерительным поверхностям концевых мер длины при отпущенном стопорном винте рамки. Длинное ребро измерительной поверхности губки должна быть перпендикулярно к длинному ребру концевой меры длины и находиться в середине измерительной поверхности.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В одной из поверяемых точек погрешность определяют при зажатом стопорном винте рамки, при этом должно сохраняться нормальное скольжение измерительных поверхностей губок по измерительным поверхностям концевых мер.</w:t>
      </w:r>
      <w:r/>
    </w:p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  <w:t xml:space="preserve">Допускаемая абсолютная погрешность при измерении наружных размеров для каждой пары губок не должна превышать значений, указанных в таблице 4.</w:t>
      </w:r>
      <w:r/>
    </w:p>
    <w:p>
      <w:pPr>
        <w:pStyle w:val="620"/>
        <w:ind w:firstLine="284"/>
        <w:jc w:val="right"/>
        <w:shd w:val="clear" w:color="auto" w:fill="ffffff"/>
        <w:rPr>
          <w:szCs w:val="24"/>
        </w:rPr>
      </w:pPr>
      <w:r>
        <w:rPr>
          <w:szCs w:val="24"/>
        </w:rPr>
      </w:r>
      <w:r/>
    </w:p>
    <w:p>
      <w:pPr>
        <w:pStyle w:val="620"/>
        <w:ind w:firstLine="284"/>
        <w:jc w:val="right"/>
        <w:shd w:val="clear" w:color="auto" w:fill="ffffff"/>
        <w:rPr>
          <w:szCs w:val="16"/>
        </w:rPr>
      </w:pPr>
      <w:r>
        <w:rPr>
          <w:szCs w:val="16"/>
        </w:rPr>
        <w:t xml:space="preserve">Таблица 4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</w:r>
      <w:r/>
    </w:p>
    <w:tbl>
      <w:tblPr>
        <w:tblW w:w="5000" w:type="pct"/>
        <w:tblInd w:w="-4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12"/>
        <w:gridCol w:w="2548"/>
        <w:gridCol w:w="2552"/>
      </w:tblGrid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Модель штангенциркулей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Диапазон измерений наружных размеров, мм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Пределы допускаемой абсолютной погрешности при измерении наружных размеров, мм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EWR-C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EWR-H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EWR-NA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EWR-AR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200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EWR-SM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EWR-VS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200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EWR-BA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210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EWR-SI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170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EWR-AI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160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0,03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1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EWR-RW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48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rFonts w:ascii="Symbol" w:hAnsi="Symbol" w:eastAsia="Symbol" w:cs="Symbol"/>
                <w:szCs w:val="16"/>
              </w:rPr>
              <w:t xml:space="preserve"></w:t>
            </w:r>
            <w:r>
              <w:rPr>
                <w:szCs w:val="16"/>
              </w:rPr>
              <w:t xml:space="preserve">0,05</w:t>
            </w:r>
            <w:r/>
          </w:p>
        </w:tc>
      </w:tr>
    </w:tbl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5.10. Допускаемую абсолютную погрешность штангенциркулей при измерении внутренних размеров (кроме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RW</w:t>
      </w:r>
      <w:r>
        <w:rPr>
          <w:szCs w:val="16"/>
        </w:rPr>
        <w:t xml:space="preserve">) определяют с помощью установочных колец не менее чем в семи точках, равномерно расположенных на всем диапазоне измерений штангенциркуля.</w:t>
      </w:r>
      <w:r/>
    </w:p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  <w:t xml:space="preserve">Определяют разность между диаметром кольца, измеренным штангенциркулем, и размером, указанным на маркировке кольца. Разность не должна превышать значений, указанных в таблице 5.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</w:r>
      <w:r/>
    </w:p>
    <w:p>
      <w:pPr>
        <w:pStyle w:val="620"/>
        <w:ind w:firstLine="284"/>
        <w:jc w:val="right"/>
        <w:shd w:val="clear" w:color="auto" w:fill="ffffff"/>
        <w:rPr>
          <w:szCs w:val="16"/>
        </w:rPr>
      </w:pPr>
      <w:r>
        <w:rPr>
          <w:szCs w:val="16"/>
        </w:rPr>
        <w:t xml:space="preserve">Таблица 5</w:t>
      </w:r>
      <w:r/>
    </w:p>
    <w:p>
      <w:pPr>
        <w:pStyle w:val="620"/>
        <w:ind w:firstLine="284"/>
        <w:jc w:val="right"/>
        <w:shd w:val="clear" w:color="auto" w:fill="ffffff"/>
        <w:rPr>
          <w:szCs w:val="24"/>
        </w:rPr>
      </w:pPr>
      <w:r>
        <w:rPr>
          <w:szCs w:val="24"/>
        </w:rPr>
      </w:r>
      <w:r/>
    </w:p>
    <w:tbl>
      <w:tblPr>
        <w:tblW w:w="5000" w:type="pct"/>
        <w:tblInd w:w="-42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42"/>
        <w:gridCol w:w="2663"/>
        <w:gridCol w:w="2807"/>
      </w:tblGrid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Модель штангенциркулей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Диапазон измерений внутренних размеров, мм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Пределы допускаемой абсолютной погрешности при измерении внутренних размеров, мм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EWR-C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EWR-H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EWR-NA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EWR-AR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200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EWR-SI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20 до 170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EWR-AI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160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EWR-SM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150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  <w:lang w:val="en-US"/>
              </w:rPr>
            </w:pPr>
            <w:r>
              <w:rPr>
                <w:rFonts w:ascii="Symbol" w:hAnsi="Symbol" w:eastAsia="Symbol" w:cs="Symbol"/>
                <w:szCs w:val="16"/>
                <w:lang w:val="en-US"/>
              </w:rPr>
              <w:t xml:space="preserve"></w:t>
            </w:r>
            <w:r>
              <w:rPr>
                <w:szCs w:val="16"/>
                <w:lang w:val="en-US"/>
              </w:rPr>
              <w:t xml:space="preserve">0,05</w:t>
            </w:r>
            <w:r/>
          </w:p>
        </w:tc>
      </w:tr>
      <w:tr>
        <w:trPr>
          <w:cantSplit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42" w:type="dxa"/>
            <w:textDirection w:val="lrTb"/>
            <w:noWrap w:val="false"/>
          </w:tcPr>
          <w:p>
            <w:pPr>
              <w:pStyle w:val="620"/>
              <w:jc w:val="both"/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16"/>
                <w:lang w:val="en-US"/>
              </w:rPr>
              <w:t xml:space="preserve">MarCal 16 EWR-VS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3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szCs w:val="16"/>
              </w:rPr>
              <w:t xml:space="preserve">от 10 до 200 вкл.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pStyle w:val="620"/>
              <w:jc w:val="center"/>
              <w:shd w:val="clear" w:color="auto" w:fill="ffffff"/>
              <w:rPr>
                <w:szCs w:val="24"/>
              </w:rPr>
            </w:pPr>
            <w:r>
              <w:rPr>
                <w:rFonts w:ascii="Symbol" w:hAnsi="Symbol" w:eastAsia="Symbol" w:cs="Symbol"/>
                <w:szCs w:val="16"/>
              </w:rPr>
              <w:t xml:space="preserve"></w:t>
            </w:r>
            <w:r>
              <w:rPr>
                <w:szCs w:val="16"/>
              </w:rPr>
              <w:t xml:space="preserve">0,05</w:t>
            </w:r>
            <w:r/>
          </w:p>
        </w:tc>
      </w:tr>
    </w:tbl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5.11 Определение идентификационных данных программного обеспечения штангенциркулей цифровых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C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H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NA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AR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SM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VS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RW</w:t>
      </w:r>
      <w:r>
        <w:rPr>
          <w:szCs w:val="16"/>
        </w:rPr>
        <w:t xml:space="preserve">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Сведения об идентификационном наименовании программного обеспечения и его версии нанесены на микрочипе, встроенном в рамку штангенциркулей </w:t>
      </w:r>
      <w:r>
        <w:rPr>
          <w:bCs/>
          <w:szCs w:val="16"/>
        </w:rPr>
        <w:t xml:space="preserve">цифровых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C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H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NA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AR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SM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VS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BA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AA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SI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AI</w:t>
      </w:r>
      <w:r>
        <w:rPr>
          <w:szCs w:val="16"/>
        </w:rPr>
        <w:t xml:space="preserve">, </w:t>
      </w:r>
      <w:r>
        <w:rPr>
          <w:szCs w:val="16"/>
          <w:lang w:val="en-US"/>
        </w:rPr>
        <w:t xml:space="preserve">MarCal</w:t>
      </w:r>
      <w:r>
        <w:rPr>
          <w:szCs w:val="16"/>
        </w:rPr>
        <w:t xml:space="preserve"> 16 </w:t>
      </w:r>
      <w:r>
        <w:rPr>
          <w:szCs w:val="16"/>
          <w:lang w:val="en-US"/>
        </w:rPr>
        <w:t xml:space="preserve">EWR</w:t>
      </w:r>
      <w:r>
        <w:rPr>
          <w:szCs w:val="16"/>
        </w:rPr>
        <w:t xml:space="preserve">-</w:t>
      </w:r>
      <w:r>
        <w:rPr>
          <w:szCs w:val="16"/>
          <w:lang w:val="en-US"/>
        </w:rPr>
        <w:t xml:space="preserve">RW</w:t>
      </w:r>
      <w:r>
        <w:rPr>
          <w:szCs w:val="16"/>
        </w:rPr>
        <w:t xml:space="preserve">.</w:t>
      </w:r>
      <w:r/>
    </w:p>
    <w:p>
      <w:pPr>
        <w:pStyle w:val="620"/>
        <w:ind w:firstLine="284"/>
        <w:jc w:val="both"/>
        <w:shd w:val="clear" w:color="auto" w:fill="ffffff"/>
      </w:pPr>
      <w:r>
        <w:rPr>
          <w:szCs w:val="16"/>
        </w:rPr>
        <w:t xml:space="preserve">Результат подтверждения соответствия ПО считается положительным, если полученные идентификационные данные ПО и номер версии соответствуют указанным в описании типа: программное обеспечение </w:t>
      </w:r>
      <w:r>
        <w:rPr>
          <w:szCs w:val="16"/>
          <w:lang w:val="en-US"/>
        </w:rPr>
        <w:t xml:space="preserve">MarCom</w:t>
      </w:r>
      <w:r>
        <w:rPr>
          <w:szCs w:val="16"/>
        </w:rPr>
        <w:t xml:space="preserve">, версия </w:t>
      </w:r>
      <w:r>
        <w:rPr>
          <w:bCs/>
          <w:szCs w:val="16"/>
          <w:lang w:val="en-US"/>
        </w:rPr>
        <w:t xml:space="preserve">v</w:t>
      </w:r>
      <w:r>
        <w:rPr>
          <w:bCs/>
          <w:szCs w:val="16"/>
        </w:rPr>
        <w:t xml:space="preserve">.1.0.</w:t>
      </w:r>
      <w:r/>
    </w:p>
    <w:p>
      <w:pPr>
        <w:pStyle w:val="620"/>
        <w:ind w:firstLine="284"/>
        <w:jc w:val="both"/>
        <w:shd w:val="clear" w:color="auto" w:fill="ffffff"/>
        <w:rPr>
          <w:bCs/>
          <w:szCs w:val="24"/>
        </w:rPr>
      </w:pPr>
      <w:r>
        <w:rPr>
          <w:bCs/>
          <w:szCs w:val="24"/>
        </w:rPr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16"/>
        </w:rPr>
      </w:pPr>
      <w:r>
        <w:rPr>
          <w:b/>
          <w:szCs w:val="16"/>
        </w:rPr>
        <w:t xml:space="preserve">6. ОФОРМЛЕНИЕ РЕЗУЛЬТАТОВ ПОВЕРКИ</w:t>
      </w:r>
      <w:r/>
    </w:p>
    <w:p>
      <w:pPr>
        <w:pStyle w:val="620"/>
        <w:ind w:firstLine="284"/>
        <w:jc w:val="center"/>
        <w:shd w:val="clear" w:color="auto" w:fill="ffffff"/>
        <w:rPr>
          <w:b/>
          <w:szCs w:val="24"/>
        </w:rPr>
      </w:pPr>
      <w:r>
        <w:rPr>
          <w:b/>
          <w:szCs w:val="24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При положительных результатах поверки выдается свидетельство-протокол установленной формы с указанием фактических результатов определения погрешностей прибора, даты и имени поверителя, действующий протокол подтверждается клеймом.</w:t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16"/>
        </w:rPr>
        <w:t xml:space="preserve">При отрицательных результатах поверки клеймо погашается, выдается извещение о временной непригодности прибора с указанием причин</w:t>
      </w:r>
      <w:r/>
    </w:p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  <w:t xml:space="preserve">Периодичность поверки устанавливается один раз в год. Поверка также необходима после проведения каждого ремонта</w:t>
      </w:r>
      <w:r/>
    </w:p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24"/>
        </w:rPr>
      </w:pPr>
      <w:r>
        <w:rPr>
          <w:szCs w:val="24"/>
        </w:rPr>
      </w:r>
      <w:r/>
    </w:p>
    <w:p>
      <w:pPr>
        <w:pStyle w:val="620"/>
        <w:ind w:firstLine="284"/>
        <w:jc w:val="both"/>
        <w:shd w:val="clear" w:color="auto" w:fill="ffffff"/>
        <w:rPr>
          <w:szCs w:val="16"/>
        </w:rPr>
      </w:pPr>
      <w:r>
        <w:rPr>
          <w:szCs w:val="16"/>
        </w:rPr>
        <w:t xml:space="preserve">Начальник отдела ГЦИ СИ ФГУП "ВНИИМС"                                                     В.Г. Лысенко</w:t>
      </w:r>
      <w:r/>
    </w:p>
    <w:sectPr>
      <w:footerReference w:type="default" r:id="rId8"/>
      <w:footerReference w:type="first" r:id="rId9"/>
      <w:footnotePr/>
      <w:endnotePr/>
      <w:type w:val="nextPage"/>
      <w:pgSz w:w="11906" w:h="16838" w:orient="portrait"/>
      <w:pgMar w:top="1440" w:right="1797" w:bottom="1440" w:left="1797" w:header="0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0"/>
    </w:pPr>
    <w:r>
      <w:rPr>
        <w:color w:val="c0c0c0"/>
        <w:sz w:val="16"/>
      </w:rPr>
      <w:t xml:space="preserve">Данный документ из электронных библиотек ЗАО "Современные информационные услуги" - </w:t>
    </w:r>
    <w:hyperlink r:id="rId1" w:tooltip="http://www.snti.ru/" w:history="1">
      <w:r>
        <w:rPr>
          <w:rStyle w:val="622"/>
          <w:color w:val="c0c0c0"/>
          <w:sz w:val="16"/>
        </w:rPr>
        <w:t xml:space="preserve">http://www.snti.ru/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20"/>
    <w:next w:val="62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20"/>
    <w:next w:val="62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20"/>
    <w:next w:val="62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2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20"/>
    <w:next w:val="62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20"/>
    <w:next w:val="62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20"/>
    <w:next w:val="62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0"/>
    <w:next w:val="62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629"/>
    <w:uiPriority w:val="99"/>
  </w:style>
  <w:style w:type="character" w:styleId="44">
    <w:name w:val="Footer Char"/>
    <w:basedOn w:val="10"/>
    <w:link w:val="630"/>
    <w:uiPriority w:val="99"/>
  </w:style>
  <w:style w:type="character" w:styleId="46">
    <w:name w:val="Caption Char"/>
    <w:basedOn w:val="626"/>
    <w:link w:val="630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2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2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621">
    <w:name w:val="Основной шрифт абзаца"/>
    <w:qFormat/>
  </w:style>
  <w:style w:type="character" w:styleId="622">
    <w:name w:val="Hyperlink"/>
    <w:basedOn w:val="621"/>
    <w:rPr>
      <w:color w:val="0000ff"/>
      <w:u w:val="single"/>
    </w:rPr>
  </w:style>
  <w:style w:type="paragraph" w:styleId="623">
    <w:name w:val="Heading"/>
    <w:basedOn w:val="620"/>
    <w:next w:val="624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24">
    <w:name w:val="Body Text"/>
    <w:basedOn w:val="620"/>
    <w:pPr>
      <w:spacing w:before="0" w:after="140" w:line="276" w:lineRule="auto"/>
    </w:pPr>
  </w:style>
  <w:style w:type="paragraph" w:styleId="625">
    <w:name w:val="List"/>
    <w:basedOn w:val="624"/>
  </w:style>
  <w:style w:type="paragraph" w:styleId="626">
    <w:name w:val="Caption"/>
    <w:basedOn w:val="620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27">
    <w:name w:val="Index"/>
    <w:basedOn w:val="620"/>
    <w:qFormat/>
    <w:pPr>
      <w:suppressLineNumbers/>
    </w:pPr>
  </w:style>
  <w:style w:type="paragraph" w:styleId="628">
    <w:name w:val="Header and Footer"/>
    <w:basedOn w:val="620"/>
    <w:qFormat/>
    <w:pPr>
      <w:tabs>
        <w:tab w:val="clear" w:pos="720" w:leader="none"/>
        <w:tab w:val="center" w:pos="4819" w:leader="none"/>
        <w:tab w:val="right" w:pos="9638" w:leader="none"/>
      </w:tabs>
      <w:suppressLineNumbers/>
    </w:pPr>
  </w:style>
  <w:style w:type="paragraph" w:styleId="629">
    <w:name w:val="Header"/>
    <w:basedOn w:val="620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630">
    <w:name w:val="Footer"/>
    <w:basedOn w:val="620"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631">
    <w:name w:val="Table Contents"/>
    <w:basedOn w:val="620"/>
    <w:qFormat/>
    <w:pPr>
      <w:widowControl w:val="off"/>
      <w:suppressLineNumbers/>
    </w:pPr>
  </w:style>
  <w:style w:type="paragraph" w:styleId="632">
    <w:name w:val="Table Heading"/>
    <w:basedOn w:val="631"/>
    <w:qFormat/>
    <w:pPr>
      <w:jc w:val="center"/>
      <w:suppressLineNumbers/>
    </w:pPr>
    <w:rPr>
      <w:b/>
      <w:bCs/>
    </w:rPr>
  </w:style>
  <w:style w:type="character" w:styleId="4021" w:default="1">
    <w:name w:val="Default Paragraph Font"/>
    <w:uiPriority w:val="1"/>
    <w:semiHidden/>
    <w:unhideWhenUsed/>
  </w:style>
  <w:style w:type="numbering" w:styleId="4022" w:default="1">
    <w:name w:val="No List"/>
    <w:uiPriority w:val="99"/>
    <w:semiHidden/>
    <w:unhideWhenUsed/>
  </w:style>
  <w:style w:type="table" w:styleId="40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snti.ru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 51480-12</dc:title>
  <dc:subject/>
  <dc:creator>Кушнаренко Наталья Александровна</dc:creator>
  <dc:description/>
  <dc:language>en-US</dc:language>
  <cp:lastModifiedBy>Андрей Иванов</cp:lastModifiedBy>
  <cp:revision>3</cp:revision>
  <dcterms:created xsi:type="dcterms:W3CDTF">2021-04-23T06:09:00Z</dcterms:created>
  <dcterms:modified xsi:type="dcterms:W3CDTF">2022-11-11T13:11:27Z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>http://www.snti.ru/</vt:lpwstr>
  </property>
</Properties>
</file>