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header4.xml.rels" ContentType="application/vnd.openxmlformats-package.relationships+xml"/>
  <Override PartName="/word/_rels/header3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3.bin" ContentType="application/vnd.openxmlformats-officedocument.oleObject"/>
  <Override PartName="/word/embeddings/oleObject12.bin" ContentType="application/vnd.openxmlformats-officedocument.oleObject"/>
  <Override PartName="/word/embeddings/oleObject11.bin" ContentType="application/vnd.openxmlformats-officedocument.oleObject"/>
  <Override PartName="/word/embeddings/oleObject10.bin" ContentType="application/vnd.openxmlformats-officedocument.oleObject"/>
  <Override PartName="/word/media/image6.wmf" ContentType="image/x-wmf"/>
  <Override PartName="/word/media/image5.wmf" ContentType="image/x-wmf"/>
  <Override PartName="/word/media/image4.wmf" ContentType="image/x-wmf"/>
  <Override PartName="/word/media/image3.wmf" ContentType="image/x-wmf"/>
  <Override PartName="/word/media/image1.wmf" ContentType="image/x-wmf"/>
  <Override PartName="/word/media/image15.wmf" ContentType="image/x-wmf"/>
  <Override PartName="/word/media/image2.wmf" ContentType="image/x-wmf"/>
  <Override PartName="/word/media/image7.wmf" ContentType="image/x-wmf"/>
  <Override PartName="/word/media/image8.wmf" ContentType="image/x-wmf"/>
  <Override PartName="/word/media/image13.wmf" ContentType="image/x-wmf"/>
  <Override PartName="/word/media/image14.wmf" ContentType="image/x-wmf"/>
  <Override PartName="/word/media/image12.wmf" ContentType="image/x-wmf"/>
  <Override PartName="/word/media/image11.wmf" ContentType="image/x-wmf"/>
  <Override PartName="/word/media/image9.wmf" ContentType="image/x-wmf"/>
  <Override PartName="/word/media/image10.wmf" ContentType="image/x-wm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СОГЛАСОВАНО</w:t>
      </w:r>
    </w:p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Руководитель ГЦИ СИ</w:t>
      </w:r>
    </w:p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ФГУ «Нижегородский ЦСМ»</w:t>
      </w:r>
    </w:p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 И.И.Решетник</w:t>
      </w:r>
    </w:p>
    <w:p>
      <w:pPr>
        <w:pStyle w:val="Normal"/>
        <w:ind w:firstLine="6237"/>
        <w:jc w:val="both"/>
        <w:rPr/>
      </w:pPr>
      <w:r>
        <w:rPr>
          <w:rFonts w:cs="Times New Roman" w:ascii="Times New Roman" w:hAnsi="Times New Roman"/>
          <w:b/>
        </w:rPr>
        <w:t>«</w:t>
      </w:r>
      <w:r>
        <w:rPr>
          <w:rFonts w:cs="Times New Roman" w:ascii="Times New Roman" w:hAnsi="Times New Roman"/>
          <w:b/>
          <w:u w:val="single"/>
        </w:rPr>
        <w:t xml:space="preserve"> 8 </w:t>
      </w:r>
      <w:r>
        <w:rPr>
          <w:rFonts w:cs="Times New Roman" w:ascii="Times New Roman" w:hAnsi="Times New Roman"/>
          <w:b/>
        </w:rPr>
        <w:t xml:space="preserve">»  </w:t>
      </w:r>
      <w:r>
        <w:rPr>
          <w:rFonts w:cs="Times New Roman" w:ascii="Times New Roman" w:hAnsi="Times New Roman"/>
          <w:b/>
          <w:u w:val="single"/>
        </w:rPr>
        <w:t>декабря</w:t>
      </w:r>
      <w:r>
        <w:rPr>
          <w:rFonts w:cs="Times New Roman" w:ascii="Times New Roman" w:hAnsi="Times New Roman"/>
          <w:b/>
        </w:rPr>
        <w:t xml:space="preserve">  2004 г.</w:t>
        <w:tab/>
        <w:tab/>
      </w:r>
      <w:r>
        <w:rPr>
          <w:rFonts w:cs="Times New Roman" w:ascii="Times New Roman" w:hAnsi="Times New Roman"/>
        </w:rPr>
        <w:tab/>
        <w:tab/>
        <w:tab/>
        <w:tab/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СЧЁТЧИКИ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ВАТТ-ЧАСОВ  АКТИВНОЙ  ЭНЕРГИИ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ПЕРЕМЕННОГО  ТОКА   ЭЛЕКТРОННЫЕ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«Меркурий-202»</w:t>
      </w:r>
    </w:p>
    <w:p>
      <w:pPr>
        <w:pStyle w:val="Heading8"/>
        <w:rPr>
          <w:rFonts w:ascii="Times New Roman" w:hAnsi="Times New Roman" w:cs="Times New Roman"/>
          <w:b w:val="false"/>
          <w:b w:val="false"/>
          <w:sz w:val="36"/>
        </w:rPr>
      </w:pPr>
      <w:r>
        <w:rPr>
          <w:rFonts w:cs="Times New Roman"/>
          <w:b w:val="false"/>
          <w:sz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Методика поверки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Heading8"/>
        <w:rPr/>
      </w:pPr>
      <w:r>
        <w:rPr/>
        <w:t>АВЛГ.411152.026  И3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31" w:right="680" w:header="0" w:top="851" w:footer="0" w:bottom="15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2004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СОДЕРЖАНИЕ</w:t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7512" w:type="dxa"/>
        <w:jc w:val="left"/>
        <w:tblInd w:w="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96"/>
        <w:gridCol w:w="708"/>
      </w:tblGrid>
      <w:tr>
        <w:trPr/>
        <w:tc>
          <w:tcPr>
            <w:tcW w:w="708" w:type="dxa"/>
            <w:tcBorders/>
          </w:tcPr>
          <w:p>
            <w:pPr>
              <w:pStyle w:val="Style1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96" w:type="dxa"/>
            <w:tcBorders/>
          </w:tcPr>
          <w:p>
            <w:pPr>
              <w:pStyle w:val="Style1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left="-10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Стр.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Операции  и  средства  поверки 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Требования   безопасности ………………………………...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Требования к квалификации поверителей ……………….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Условия   поверки ……….…….…………………………...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Подготовка к поверке ……………………………………...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  поверки ……………………………………...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Оформление   результатов   поверки 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napToGrid w:val="false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96" w:type="dxa"/>
            <w:tcBorders/>
          </w:tcPr>
          <w:p>
            <w:pPr>
              <w:pStyle w:val="Style13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ПРИЛОЖЕНИЕ А  Схема для проверки функционирования </w:t>
            </w:r>
            <w:r>
              <w:rPr>
                <w:rFonts w:cs="Times New Roman" w:ascii="Times New Roman" w:hAnsi="Times New Roman"/>
                <w:lang w:val="en-US"/>
              </w:rPr>
              <w:t>PLT</w:t>
            </w:r>
            <w:r>
              <w:rPr>
                <w:rFonts w:cs="Times New Roman" w:ascii="Times New Roman" w:hAnsi="Times New Roman"/>
              </w:rPr>
              <w:t>-модема .…………………………………………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</w:tbl>
    <w:p>
      <w:pPr>
        <w:pStyle w:val="Style13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531" w:right="680" w:header="0" w:top="851" w:footer="0" w:bottom="3572" w:gutter="0"/>
          <w:pgNumType w:fmt="decimal"/>
          <w:formProt w:val="false"/>
          <w:textDirection w:val="lrTb"/>
          <w:docGrid w:type="default" w:linePitch="360" w:charSpace="0"/>
        </w:sectPr>
        <w:pStyle w:val="Style13"/>
        <w:ind w:left="1701" w:hanging="1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9"/>
        <w:ind w:left="0" w:firstLine="709"/>
        <w:jc w:val="both"/>
        <w:rPr/>
      </w:pPr>
      <w:r>
        <w:rPr>
          <w:b w:val="false"/>
          <w:sz w:val="24"/>
        </w:rPr>
        <w:t>Настоящая методика составлена с учётом требований ПР50.2.006-94 и в соответствии  с  требованиями  ГОСТ  30207-94 и  устанавливает методику  первичной,  периодической  и внеочередной поверки счётчика,  а также объём,  условия поверки и подготовку к ней.</w:t>
      </w:r>
    </w:p>
    <w:p>
      <w:pPr>
        <w:pStyle w:val="3"/>
        <w:widowControl/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</w:tabs>
        <w:ind w:firstLine="709"/>
        <w:rPr/>
      </w:pPr>
      <w:r>
        <w:rPr/>
        <w:t>Модификации счётчика, на которые распространяется настоящая методика поверки, приведены  в таблице 1.</w:t>
      </w:r>
    </w:p>
    <w:p>
      <w:pPr>
        <w:pStyle w:val="Heading2"/>
        <w:tabs>
          <w:tab w:val="clear" w:pos="720"/>
          <w:tab w:val="left" w:pos="567" w:leader="none"/>
          <w:tab w:val="left" w:pos="7056" w:leader="none"/>
        </w:tabs>
        <w:ind w:firstLine="709"/>
        <w:jc w:val="both"/>
        <w:rPr>
          <w:b/>
          <w:b/>
        </w:rPr>
      </w:pPr>
      <w:r>
        <w:rPr>
          <w:b/>
        </w:rPr>
        <w:t xml:space="preserve">Таблица 1 </w:t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1984"/>
        <w:gridCol w:w="1701"/>
        <w:gridCol w:w="1843"/>
        <w:gridCol w:w="1999"/>
      </w:tblGrid>
      <w:tr>
        <w:trPr>
          <w:trHeight w:val="939" w:hRule="atLeast"/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Модификации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счётчиков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70" w:right="-70" w:firstLine="7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Номинальный (максимальный)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ток, 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Передаточное число, имп/кВт</w:t>
            </w:r>
            <w:r>
              <w:rPr>
                <w:rFonts w:eastAsia="Symbol" w:cs="Symbol" w:ascii="Symbol" w:hAnsi="Symbol"/>
                <w:b/>
              </w:rPr>
              <w:t></w:t>
            </w:r>
            <w:r>
              <w:rPr>
                <w:rFonts w:cs="Times New Roman" w:ascii="Times New Roman" w:hAnsi="Times New Roman"/>
                <w:b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Тип </w:t>
            </w:r>
          </w:p>
          <w:p>
            <w:pPr>
              <w:pStyle w:val="Normal"/>
              <w:ind w:left="-70" w:right="-70" w:firstLine="7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суммирующего устройства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70" w:right="-7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Дополнительные функции</w:t>
            </w:r>
          </w:p>
        </w:tc>
      </w:tr>
      <w:tr>
        <w:trPr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«Меркурий-202.1»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5(50)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УО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«Меркурий-202.2»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5(50)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ЖКИ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70" w:right="-7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-7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«Меркурий-202.22»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5(50)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ЖКИ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PLT</w:t>
            </w:r>
            <w:r>
              <w:rPr>
                <w:rFonts w:cs="Times New Roman" w:ascii="Times New Roman" w:hAnsi="Times New Roman"/>
              </w:rPr>
              <w:t>-модем</w:t>
            </w:r>
          </w:p>
        </w:tc>
      </w:tr>
      <w:tr>
        <w:trPr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«Меркурий-202.3»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10(80)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УО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«Меркурий-202.4»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10(80)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ЖКИ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-70" w:hanging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right="-7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«Меркурий-202.42»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10(80)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ЖКИ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PLT</w:t>
            </w:r>
            <w:r>
              <w:rPr>
                <w:rFonts w:cs="Times New Roman" w:ascii="Times New Roman" w:hAnsi="Times New Roman"/>
              </w:rPr>
              <w:t>-модем</w:t>
            </w:r>
          </w:p>
        </w:tc>
      </w:tr>
      <w:tr>
        <w:trPr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«Меркурий-202.5»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5(50)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УО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«Меркурий-202.6»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10(80)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УО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УО  - устройство отсчётное электромеханическое,</w:t>
      </w:r>
    </w:p>
    <w:p>
      <w:pPr>
        <w:pStyle w:val="3"/>
        <w:ind w:firstLine="709"/>
        <w:rPr/>
      </w:pPr>
      <w:r>
        <w:rPr/>
        <w:t>ЖКИ - жидкокристаллический индикатор.</w:t>
      </w:r>
    </w:p>
    <w:p>
      <w:pPr>
        <w:pStyle w:val="TextBodyIndent"/>
        <w:spacing w:lineRule="auto" w:line="240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Счётчики подлежат государственному метрологическому контролю и надзору.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При выпуске счётчиков из производства и ремонта  проводят первичную поверку.</w:t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Первичной  поверке  подлежит каждый экземпляр счётчиков.</w:t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Межповерочный интервал - 16 лет.</w:t>
      </w:r>
    </w:p>
    <w:p>
      <w:pPr>
        <w:pStyle w:val="21"/>
        <w:rPr/>
      </w:pPr>
      <w:r>
        <w:rPr/>
        <w:t>Периодической поверке подлежат счётчики,  находящиеся в  эксплуатации или на хранении по истечении межповерочного интервала.</w:t>
      </w:r>
    </w:p>
    <w:p>
      <w:pPr>
        <w:pStyle w:val="21"/>
        <w:rPr/>
      </w:pPr>
      <w:r>
        <w:rPr/>
        <w:t>Внеочередную  поверку  производят в случае: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повреждения  знака  поверительного  клейма  (пломбы) и в случае утраты паспорта;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ввода в эксплуатацию счётчика после длительного хранения  (более половины межповерочного интервала);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проведения повторной юстировки или настройки,  известном или  предполагаемом  ударном  воздействии  на  счётчик  или  неудовлетворительной  его  работе;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продажи (отправки) потребителю счётчика, не реализованного по истечении срока,  равного половине межповерочного интервала.</w:t>
      </w:r>
    </w:p>
    <w:p>
      <w:pPr>
        <w:pStyle w:val="BodyTextIndent2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BodyTextIndent2"/>
        <w:rPr/>
      </w:pPr>
      <w:r>
        <w:rPr/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1 Операции  и  средства  поверки</w:t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21"/>
        <w:rPr/>
      </w:pPr>
      <w:r>
        <w:rPr/>
        <w:t>1.1  Выполняемые при поверке операции, а также применяемые при этом средства поверки указаны в таблице 2.</w:t>
      </w:r>
    </w:p>
    <w:p>
      <w:pPr>
        <w:pStyle w:val="21"/>
        <w:rPr/>
      </w:pPr>
      <w:r>
        <w:rPr/>
        <w:t>Последовательность операций проведения поверки  обязательна.</w:t>
      </w:r>
    </w:p>
    <w:p>
      <w:pPr>
        <w:pStyle w:val="21"/>
        <w:rPr/>
      </w:pPr>
      <w:r>
        <w:rPr/>
      </w:r>
    </w:p>
    <w:p>
      <w:pPr>
        <w:pStyle w:val="Heading8"/>
        <w:jc w:val="both"/>
        <w:rPr/>
      </w:pPr>
      <w:r>
        <w:rPr>
          <w:sz w:val="24"/>
        </w:rPr>
        <w:t xml:space="preserve">           </w:t>
      </w:r>
      <w:r>
        <w:rPr>
          <w:sz w:val="24"/>
        </w:rPr>
        <w:t xml:space="preserve">Таблица  2  - </w:t>
      </w:r>
      <w:r>
        <w:rPr>
          <w:b w:val="false"/>
          <w:sz w:val="24"/>
        </w:rPr>
        <w:t>Последовательность операций поверки</w:t>
      </w:r>
      <w:r>
        <w:rPr>
          <w:sz w:val="24"/>
        </w:rPr>
        <w:tab/>
      </w:r>
    </w:p>
    <w:p>
      <w:pPr>
        <w:pStyle w:val="Heading8"/>
        <w:jc w:val="both"/>
        <w:rPr/>
      </w:pPr>
      <w:r>
        <w:rPr/>
        <w:tab/>
      </w:r>
    </w:p>
    <w:tbl>
      <w:tblPr>
        <w:tblW w:w="9796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1276"/>
        <w:gridCol w:w="1701"/>
        <w:gridCol w:w="2850"/>
      </w:tblGrid>
      <w:tr>
        <w:trPr>
          <w:cantSplit w:val="true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Наименование   операции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08" w:right="-108" w:firstLine="108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Номер пункта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Обязательность проведения поверки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Наименование средств    поверки,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технические характеристики</w:t>
            </w:r>
          </w:p>
        </w:tc>
      </w:tr>
      <w:tr>
        <w:trPr>
          <w:cantSplit w:val="true"/>
        </w:trPr>
        <w:tc>
          <w:tcPr>
            <w:tcW w:w="29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При первичной поверке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При периодической (внеочередной) поверке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Внешний осмотр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2. Проверка электрической прочности изоляции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Установка для  испытания электрической прочности изоляции </w:t>
            </w:r>
            <w:r>
              <w:rPr>
                <w:rFonts w:cs="Times New Roman" w:ascii="Times New Roman" w:hAnsi="Times New Roman"/>
                <w:iCs/>
              </w:rPr>
              <w:t>УПУ-10</w:t>
            </w:r>
            <w:r>
              <w:rPr>
                <w:rFonts w:cs="Times New Roman" w:ascii="Times New Roman" w:hAnsi="Times New Roman"/>
              </w:rPr>
              <w:t xml:space="preserve"> пост. и перем.  напряжением  (0…4000) В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Опробование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Установка    ЦУ6800И: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поверка счётчиков активной энергии класса 1,0; </w:t>
            </w:r>
          </w:p>
          <w:p>
            <w:pPr>
              <w:pStyle w:val="Normal"/>
              <w:ind w:right="-108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напряжение (100…260)В, </w:t>
            </w:r>
          </w:p>
          <w:p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ток (0,01…100) А.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Персональный компьютер с операционной системой </w:t>
            </w:r>
            <w:r>
              <w:rPr>
                <w:rFonts w:cs="Times New Roman" w:ascii="Times New Roman" w:hAnsi="Times New Roman"/>
                <w:lang w:val="en-US"/>
              </w:rPr>
              <w:t>Windows</w:t>
            </w:r>
            <w:r>
              <w:rPr>
                <w:rFonts w:cs="Times New Roman" w:ascii="Times New Roman" w:hAnsi="Times New Roman"/>
              </w:rPr>
              <w:t xml:space="preserve">-9Х </w:t>
            </w:r>
            <w:r>
              <w:rPr>
                <w:rFonts w:cs="Times New Roman" w:ascii="Times New Roman" w:hAnsi="Times New Roman"/>
                <w:lang w:val="en-US"/>
              </w:rPr>
              <w:t>c</w:t>
            </w:r>
            <w:r>
              <w:rPr>
                <w:rFonts w:cs="Times New Roman" w:ascii="Times New Roman" w:hAnsi="Times New Roman"/>
              </w:rPr>
              <w:t xml:space="preserve"> последовательным портом RS-232.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Технологическое приспособление  </w:t>
            </w:r>
            <w:r>
              <w:rPr>
                <w:rFonts w:cs="Times New Roman" w:ascii="Times New Roman" w:hAnsi="Times New Roman"/>
                <w:lang w:val="en-US"/>
              </w:rPr>
              <w:t>RS</w:t>
            </w:r>
            <w:r>
              <w:rPr>
                <w:rFonts w:cs="Times New Roman" w:ascii="Times New Roman" w:hAnsi="Times New Roman"/>
              </w:rPr>
              <w:t xml:space="preserve">-232 - </w:t>
            </w:r>
            <w:r>
              <w:rPr>
                <w:rFonts w:cs="Times New Roman" w:ascii="Times New Roman" w:hAnsi="Times New Roman"/>
                <w:lang w:val="en-US"/>
              </w:rPr>
              <w:t>PLT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Тестовое программное обеспечение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«</w:t>
            </w:r>
            <w:r>
              <w:rPr>
                <w:rFonts w:cs="Times New Roman" w:ascii="Times New Roman" w:hAnsi="Times New Roman"/>
                <w:lang w:val="en-US"/>
              </w:rPr>
              <w:t>BMonitorFEC</w:t>
            </w:r>
            <w:r>
              <w:rPr>
                <w:rFonts w:cs="Times New Roman" w:ascii="Times New Roman" w:hAnsi="Times New Roman"/>
              </w:rPr>
              <w:t>»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 Проверка метрологических характеристик счётчика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3.1. Определение значений погрешностей счётчика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>6.4.1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05" w:hRule="atLeast"/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3.2. Проверка порога чувствительности и отсутствия самохода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6.4.2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20" w:hRule="atLeast"/>
          <w:cantSplit w:val="true"/>
        </w:trPr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1"/>
              <w:ind w:firstLine="601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Примечания</w:t>
            </w:r>
          </w:p>
          <w:p>
            <w:pPr>
              <w:pStyle w:val="21"/>
              <w:ind w:firstLine="601"/>
              <w:rPr/>
            </w:pPr>
            <w:r>
              <w:rPr/>
              <w:t>1 Допускается проведение поверки счётчиков с применением средств поверки, не указанных в таблице,  но  обеспечивающих определение и контроль метрологических характеристик поверяемых счётчиков с требуемой точностью.</w:t>
            </w:r>
          </w:p>
          <w:p>
            <w:pPr>
              <w:pStyle w:val="BodyTextIndent2"/>
              <w:ind w:firstLine="601"/>
              <w:rPr/>
            </w:pPr>
            <w:r>
              <w:rPr/>
              <w:t>2 Средства поверки должны быть поверены и иметь действующее клеймо поверки.</w:t>
            </w:r>
          </w:p>
          <w:p>
            <w:pPr>
              <w:pStyle w:val="Normal"/>
              <w:ind w:firstLine="6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21"/>
        <w:rPr/>
      </w:pPr>
      <w:r>
        <w:rPr/>
      </w:r>
    </w:p>
    <w:p>
      <w:pPr>
        <w:pStyle w:val="Heading3"/>
        <w:spacing w:lineRule="auto" w:line="240"/>
        <w:jc w:val="both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Heading3"/>
        <w:spacing w:lineRule="auto" w:line="240"/>
        <w:jc w:val="both"/>
        <w:rPr>
          <w:b/>
          <w:b/>
          <w:sz w:val="28"/>
        </w:rPr>
      </w:pPr>
      <w:r>
        <w:rPr>
          <w:b/>
          <w:sz w:val="28"/>
        </w:rPr>
        <w:tab/>
      </w:r>
    </w:p>
    <w:p>
      <w:pPr>
        <w:pStyle w:val="Heading3"/>
        <w:spacing w:lineRule="auto" w:line="240"/>
        <w:jc w:val="both"/>
        <w:rPr>
          <w:b/>
          <w:b/>
          <w:sz w:val="28"/>
        </w:rPr>
      </w:pPr>
      <w:r>
        <w:rPr>
          <w:b/>
          <w:sz w:val="28"/>
        </w:rPr>
        <w:tab/>
        <w:t>2  Требования   безопасности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BodyTextIndent2"/>
        <w:rPr/>
      </w:pPr>
      <w:r>
        <w:rPr/>
        <w:t>2.1 При проведении поверки должны быть соблюдены требования ГОСТ12.2.007.0-75  и  «Правила  технической  эксплуатации электроустановок  потребителей  и  правила техники безопасности при эксплуатации электроустановок  потребителей»,  утвержденные Главгосэнергонадзором.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  <w:sz w:val="28"/>
        </w:rPr>
        <w:t>3 Требования к квалификации поверителей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>3.1 Поверку проводят лица, аттестованные Госстандартом России на право поверки счётчиков электрической энергии.</w:t>
      </w:r>
    </w:p>
    <w:p>
      <w:pPr>
        <w:pStyle w:val="31"/>
        <w:widowControl/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</w:tabs>
        <w:rPr/>
      </w:pPr>
      <w:r>
        <w:rPr/>
        <w:tab/>
        <w:t>3.2 Все действия по проведению измерений при проверке счётчиков электроэнергии и обработки результатов измерений проводят лица, изучившие настоящий документ, руководство по эксплуатации используемых средств измерений и вспомогательных средств поверки.</w:t>
      </w:r>
    </w:p>
    <w:p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Heading2"/>
        <w:spacing w:lineRule="auto" w:line="240"/>
        <w:jc w:val="both"/>
        <w:rPr/>
      </w:pPr>
      <w:r>
        <w:rPr>
          <w:b/>
        </w:rPr>
        <w:tab/>
      </w:r>
      <w:r>
        <w:rPr>
          <w:b/>
          <w:sz w:val="28"/>
        </w:rPr>
        <w:t xml:space="preserve">4  Условия   поверки   </w:t>
      </w:r>
    </w:p>
    <w:p>
      <w:pPr>
        <w:pStyle w:val="Normal"/>
        <w:ind w:left="2880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4.1  Порядок  представления  счётчиков  на  поверку должен соответствовать требованиям ПР 50.2.006-94.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4.2  При проведении поверки  должны  соблюдаться  условия, установленные ГОСТ 30207-94: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 xml:space="preserve">Температура окружающего воздуха, </w:t>
      </w:r>
      <w:r>
        <w:rPr>
          <w:rFonts w:eastAsia="Symbol" w:cs="Symbol" w:ascii="Symbol" w:hAnsi="Symbol"/>
        </w:rPr>
        <w:t></w:t>
      </w:r>
      <w:r>
        <w:rPr>
          <w:rFonts w:cs="Times New Roman" w:ascii="Times New Roman" w:hAnsi="Times New Roman"/>
        </w:rPr>
        <w:t>С</w:t>
        <w:tab/>
        <w:tab/>
        <w:tab/>
        <w:t xml:space="preserve">                 </w:t>
        <w:tab/>
        <w:t xml:space="preserve">  23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2</w:t>
      </w:r>
    </w:p>
    <w:p>
      <w:pPr>
        <w:pStyle w:val="Normal"/>
        <w:ind w:firstLine="720"/>
        <w:rPr/>
      </w:pPr>
      <w:r>
        <w:rPr>
          <w:rFonts w:cs="Times New Roman" w:ascii="Times New Roman" w:hAnsi="Times New Roman"/>
        </w:rPr>
        <w:t xml:space="preserve">Относительная влажность воздуха, </w:t>
      </w:r>
      <w:r>
        <w:rPr>
          <w:rFonts w:eastAsia="Symbol" w:cs="Symbol" w:ascii="Symbol" w:hAnsi="Symbol"/>
        </w:rPr>
        <w:t></w:t>
      </w:r>
      <w:r>
        <w:rPr>
          <w:rFonts w:cs="Times New Roman" w:ascii="Times New Roman" w:hAnsi="Times New Roman"/>
        </w:rPr>
        <w:t xml:space="preserve">                </w:t>
        <w:tab/>
        <w:tab/>
        <w:tab/>
        <w:t xml:space="preserve">          от 30 до 80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Атмосферное давление, мм рт. ст.                     </w:t>
        <w:tab/>
        <w:tab/>
        <w:tab/>
        <w:t xml:space="preserve">         от 630 до 795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Внешнее магнитное поле                                   </w:t>
        <w:tab/>
        <w:tab/>
        <w:tab/>
        <w:tab/>
        <w:t>отсутствует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 xml:space="preserve">Частота измерительной сети, Гц                            </w:t>
        <w:tab/>
        <w:tab/>
        <w:tab/>
        <w:tab/>
        <w:t xml:space="preserve">  50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0,3</w:t>
      </w:r>
    </w:p>
    <w:p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Форма кривой напряжения и тока измерительной сети</w:t>
        <w:tab/>
        <w:tab/>
        <w:t xml:space="preserve">        синусоидальная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   Кг не более 2 %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 xml:space="preserve">Отклонение номинального напряжения            </w:t>
        <w:tab/>
        <w:tab/>
        <w:tab/>
        <w:tab/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1,0 %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  Поверка  должна производиться на аттестованном оборудовании  с применением  средств  поверки,  имеющих  действующее клеймо поверки.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5 Подготовка к поверке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Style11"/>
        <w:tabs>
          <w:tab w:val="clear" w:pos="4153"/>
          <w:tab w:val="clear" w:pos="8306"/>
        </w:tabs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Перед проведением поверки следует выполнить следующие подготовительные работы:</w:t>
      </w:r>
    </w:p>
    <w:p>
      <w:pPr>
        <w:pStyle w:val="Style11"/>
        <w:tabs>
          <w:tab w:val="clear" w:pos="4153"/>
          <w:tab w:val="clear" w:pos="8306"/>
        </w:tabs>
        <w:ind w:firstLine="709"/>
        <w:jc w:val="both"/>
        <w:rPr/>
      </w:pPr>
      <w:r>
        <w:rPr>
          <w:rFonts w:cs="Times New Roman" w:ascii="Times New Roman" w:hAnsi="Times New Roman"/>
        </w:rPr>
        <w:t>5.1 Проверить наличие и работоспособность основных и вспомогательных средств поверки, перечисленных в таблице 2.</w:t>
      </w:r>
    </w:p>
    <w:p>
      <w:pPr>
        <w:pStyle w:val="Style11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 Проверить наличие действующих свидетельств о поверке (аттестации) и оттисков поверительных клейм у средств поверки.</w:t>
      </w:r>
    </w:p>
    <w:p>
      <w:pPr>
        <w:pStyle w:val="Style11"/>
        <w:tabs>
          <w:tab w:val="clear" w:pos="4153"/>
          <w:tab w:val="clear" w:pos="8306"/>
        </w:tabs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 Проверить наличие заземления всех составных частей поверочной схемы.</w:t>
      </w:r>
    </w:p>
    <w:p>
      <w:pPr>
        <w:pStyle w:val="Style11"/>
        <w:tabs>
          <w:tab w:val="clear" w:pos="4153"/>
          <w:tab w:val="clear" w:pos="8306"/>
        </w:tabs>
        <w:ind w:firstLine="709"/>
        <w:jc w:val="both"/>
        <w:rPr/>
      </w:pPr>
      <w:r>
        <w:rPr>
          <w:rFonts w:cs="Times New Roman" w:ascii="Times New Roman" w:hAnsi="Times New Roman"/>
        </w:rPr>
        <w:t>5.4 Подготовить средства поверки к работе в соответствии с руководством по эксплуатации и проверить их работоспособность  путём  пробного пуска.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spacing w:lineRule="auto" w:line="240"/>
        <w:jc w:val="both"/>
        <w:rPr>
          <w:b/>
          <w:b/>
        </w:rPr>
      </w:pPr>
      <w:r>
        <w:rPr>
          <w:b/>
        </w:rPr>
        <w:tab/>
      </w:r>
    </w:p>
    <w:p>
      <w:pPr>
        <w:pStyle w:val="Heading2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Heading2"/>
        <w:spacing w:lineRule="auto" w:line="240"/>
        <w:jc w:val="both"/>
        <w:rPr/>
      </w:pPr>
      <w:r>
        <w:rPr>
          <w:b/>
        </w:rPr>
        <w:tab/>
      </w:r>
      <w:r>
        <w:rPr>
          <w:b/>
          <w:sz w:val="28"/>
        </w:rPr>
        <w:t>6 Проведение   поверки</w:t>
      </w:r>
    </w:p>
    <w:p>
      <w:pPr>
        <w:pStyle w:val="Normal"/>
        <w:ind w:left="3615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6.1  Внешний осмотр </w:t>
      </w:r>
    </w:p>
    <w:p>
      <w:pPr>
        <w:pStyle w:val="21"/>
        <w:rPr/>
      </w:pPr>
      <w:r>
        <w:rPr/>
        <w:t>6.1.1  При внешнем  осмотре  должно  быть установлено соответствие счётчика следующим требованиям: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лицевая панель счётчика должна быть чистой и иметь  чёткую маркировку в соответствии с требованиями конструкторской документации;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во все резьбовые отверстия токоотводов должны быть ввёрнуты до упора винты с исправной резьбой;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на крышке зажимной колодки счётчика должна быть нанесена схема подключения счётчика к электрической сети;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комплекте счётчика должен быть паспорт.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6.1.2 На лицевую часть панели счётчика должно быть нанесено офсетной печатью или другим способом, не ухудшающим качества: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типа счётчика: «Меркурий-202.Х» или «Меркурий-202.ХХ»;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класс точности по ГОСТ 8.401;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условное обозначение единиц учёта электрической энергии;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передаточное число;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номер счётчика по системе нумерации предприятия-изготовителя;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номинальная и максимальная сила тока;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номинальное напряжение;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номинальная частота энергосети;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товарный знак предприятия-изготовителя;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год изготовления счётчика;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утверждения типа по ПР 50.2.009;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соответствия по  ГОСТ Р 50460;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испытательное напряжение изоляции (символ С2 по ГОСТ 23217);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ГОСТ 30207;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подключения счётчиков к электрической сети по ГОСТ 25372;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двойного квадрата по ГОСТ 25874.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1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2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2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2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2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6.2  Проверка электрической прочности изоляции </w:t>
      </w:r>
    </w:p>
    <w:p>
      <w:pPr>
        <w:pStyle w:val="21"/>
        <w:rPr/>
      </w:pPr>
      <w:r>
        <w:rPr/>
        <w:t xml:space="preserve">6.2.1 При проверке электрической прочности изоляции испытательное напряжение подают начиная с минимального или со  значения рабочего напряжения. Увеличение напряжения  до  испытательного значения следует производить плавно или равномерно ступенями за время (5 </w:t>
      </w:r>
      <w:r>
        <w:rPr>
          <w:rFonts w:eastAsia="Symbol" w:cs="Symbol" w:ascii="Symbol" w:hAnsi="Symbol"/>
        </w:rPr>
        <w:t></w:t>
      </w:r>
      <w:r>
        <w:rPr/>
        <w:t xml:space="preserve"> 10) с.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6.2.2 Результат  проверки  считают  положительным,   если электрическая  изоляция выдерживает в течение одной минуты напряжение переменного тока частотой 50 Гц  между  соединенными  между собой  цепями X1</w:t>
      </w:r>
      <w:r>
        <w:rPr>
          <w:rFonts w:eastAsia="Symbol" w:cs="Symbol" w:ascii="Symbol" w:hAnsi="Symbol"/>
        </w:rPr>
        <w:t></w:t>
      </w:r>
      <w:r>
        <w:rPr>
          <w:rFonts w:cs="Times New Roman" w:ascii="Times New Roman" w:hAnsi="Times New Roman"/>
        </w:rPr>
        <w:t xml:space="preserve">Х4 на зажимной плате (колодке) счётчика, разъёмом X5 и «землёй» не менее 4 кВ  (среднеквадратического  значения). </w:t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6.3  Опробование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6.3.1  При опробовании проверяется функционирование суммирующего устройства счётчика (УО или ЖКИ).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Проверку проводят на измерительной установке ЦУ6800И.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Подключите счётчик к установке ЦУ6800И.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Установите на ЦУ6800И напряжение 220 В, ток в нагрузке отсутствует.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Запишите значение потребленной электроэнергии с УО или ЖКИ.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Включите ток 40 А. Светодиодный индикатор счётчиков с УО должен периодически мигать.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На УО или ЖКИ счётчика должно происходить увеличение значения потребленной электроэнергии.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По истечении 4 мин выключите ток. Запишите новое значение потребленной электроэнергии. Убедитесь, что разница ранее записанного и нового значения электроэнергии счётчика равна (560 - 610) 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Если все описанные действия завершились успешно, то счётчик функционирует исправно. Счётчик считается опробованным.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6.3.2 Для проверки работы счётчика с </w:t>
      </w:r>
      <w:r>
        <w:rPr>
          <w:rFonts w:cs="Times New Roman" w:ascii="Times New Roman" w:hAnsi="Times New Roman"/>
          <w:lang w:val="en-US"/>
        </w:rPr>
        <w:t>PLT</w:t>
      </w:r>
      <w:r>
        <w:rPr>
          <w:rFonts w:cs="Times New Roman" w:ascii="Times New Roman" w:hAnsi="Times New Roman"/>
        </w:rPr>
        <w:t>-модемом  необходимо собрать схему в соответствии с приложением А.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Запустите программу «</w:t>
      </w:r>
      <w:r>
        <w:rPr>
          <w:rFonts w:cs="Times New Roman" w:ascii="Times New Roman" w:hAnsi="Times New Roman"/>
          <w:lang w:val="en-US"/>
        </w:rPr>
        <w:t>BMonitorFEC</w:t>
      </w:r>
      <w:r>
        <w:rPr>
          <w:rFonts w:cs="Times New Roman" w:ascii="Times New Roman" w:hAnsi="Times New Roman"/>
        </w:rPr>
        <w:t>». Включите технологическое приспособление и счётчик. Через время не более 5 мин  на экране монитора персонального компьютера (ПК)  в соответствующем разделе (окне) программы «</w:t>
      </w:r>
      <w:r>
        <w:rPr>
          <w:rFonts w:cs="Times New Roman" w:ascii="Times New Roman" w:hAnsi="Times New Roman"/>
          <w:lang w:val="en-US"/>
        </w:rPr>
        <w:t>BMonitorFEC</w:t>
      </w:r>
      <w:r>
        <w:rPr>
          <w:rFonts w:cs="Times New Roman" w:ascii="Times New Roman" w:hAnsi="Times New Roman"/>
        </w:rPr>
        <w:t>» должно появиться значение накопленной энергии в 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Сравнить эти показания с показаниями на ЖКИ счётчика. Если они совпадают, то </w:t>
      </w:r>
      <w:r>
        <w:rPr>
          <w:rFonts w:cs="Times New Roman" w:ascii="Times New Roman" w:hAnsi="Times New Roman"/>
          <w:lang w:val="en-US"/>
        </w:rPr>
        <w:t>PLT</w:t>
      </w:r>
      <w:r>
        <w:rPr>
          <w:rFonts w:cs="Times New Roman" w:ascii="Times New Roman" w:hAnsi="Times New Roman"/>
        </w:rPr>
        <w:t xml:space="preserve">-модем в счётчике функционирует нормально.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21"/>
        <w:rPr/>
      </w:pPr>
      <w:r>
        <w:rPr>
          <w:b/>
          <w:bCs/>
          <w:i/>
          <w:iCs/>
        </w:rPr>
        <w:t xml:space="preserve">6.4  Определение порога чувствительности, отсутствия самохода, значений погрешности счётчика 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6.4.1  Погрешность счётчика определяют методом образцового счётчика на установке ЦУ6800И. Перед началом поверки прогрейте счётчик в течении 10  минут. 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6.4.2  Последовательность испытаний,  информативные  параметры входного сигнала и пределы допускаемого значения основной погрешности приведены в таблице 3.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ab/>
        <w:t>Результаты испытаний считаются положительными,  и счётчик соответствует классу точности, если во всех измерениях погрешность находится в пределах допускаемых значений  погрешности, приведённых в таблице 3.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9"/>
        <w:ind w:left="1560" w:hanging="840"/>
        <w:jc w:val="both"/>
        <w:rPr>
          <w:sz w:val="24"/>
        </w:rPr>
      </w:pPr>
      <w:r>
        <w:rPr>
          <w:sz w:val="24"/>
        </w:rPr>
        <w:t xml:space="preserve">Таблица 3 </w:t>
      </w:r>
    </w:p>
    <w:p>
      <w:pPr>
        <w:pStyle w:val="Normal"/>
        <w:ind w:firstLine="7200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275"/>
        <w:gridCol w:w="1276"/>
        <w:gridCol w:w="1134"/>
        <w:gridCol w:w="1134"/>
        <w:gridCol w:w="2141"/>
      </w:tblGrid>
      <w:tr>
        <w:trPr>
          <w:cantSplit w:val="true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Номер испы-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тания 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Параметры  входных  сигналов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>
                <w:top w:val="single" w:sz="6" w:space="1" w:color="000000"/>
              </w:pBdr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Пределы допускаемой </w:t>
            </w:r>
          </w:p>
          <w:p>
            <w:pPr>
              <w:pStyle w:val="Normal"/>
              <w:pBdr>
                <w:top w:val="single" w:sz="6" w:space="1" w:color="000000"/>
              </w:pBdr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относительной</w:t>
            </w:r>
          </w:p>
          <w:p>
            <w:pPr>
              <w:pStyle w:val="Normal"/>
              <w:pBdr>
                <w:top w:val="single" w:sz="6" w:space="1" w:color="000000"/>
              </w:pBdr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погрешности, %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Число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учитываемых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периодов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ЦУ6800И</w:t>
            </w:r>
          </w:p>
        </w:tc>
      </w:tr>
      <w:tr>
        <w:trPr>
          <w:cantSplit w:val="true"/>
        </w:trPr>
        <w:tc>
          <w:tcPr>
            <w:tcW w:w="9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Напряжение 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 </w:t>
            </w:r>
            <w:r>
              <w:rPr>
                <w:rFonts w:cs="Times New Roman" w:ascii="Times New Roman" w:hAnsi="Times New Roman"/>
                <w:b/>
              </w:rPr>
              <w:t>сила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тока,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  </w:t>
            </w:r>
            <w:r>
              <w:rPr>
                <w:rFonts w:cs="Times New Roman" w:ascii="Times New Roman" w:hAnsi="Times New Roman"/>
                <w:b/>
              </w:rPr>
              <w:t xml:space="preserve">cos </w:t>
            </w:r>
            <w:r>
              <w:rPr>
                <w:rFonts w:eastAsia="Symbol" w:cs="Symbol" w:ascii="Symbol" w:hAnsi="Symbol"/>
                <w:b/>
              </w:rPr>
              <w:t>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класс 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класс     2,0</w:t>
            </w:r>
          </w:p>
        </w:tc>
        <w:tc>
          <w:tcPr>
            <w:tcW w:w="214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0,05 I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2,5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lang w:val="en-US"/>
              </w:rPr>
              <w:t xml:space="preserve">0,2 I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0,2 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 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 xml:space="preserve">1,0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20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  </w:t>
            </w:r>
            <w:r>
              <w:rPr>
                <w:rFonts w:cs="Times New Roman" w:ascii="Times New Roman" w:hAnsi="Times New Roman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0,5</w:t>
            </w:r>
            <w:r>
              <w:rPr>
                <w:rFonts w:cs="Times New Roman" w:ascii="Times New Roman" w:hAnsi="Times New Roman"/>
              </w:rPr>
              <w:t>инд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  </w:t>
            </w:r>
            <w:r>
              <w:rPr>
                <w:rFonts w:cs="Times New Roman" w:ascii="Times New Roman" w:hAnsi="Times New Roman"/>
                <w:lang w:val="en-US"/>
              </w:rPr>
              <w:t>I max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US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99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   </w:t>
            </w:r>
            <w:r>
              <w:rPr>
                <w:rFonts w:cs="Times New Roman" w:ascii="Times New Roman" w:hAnsi="Times New Roman"/>
                <w:lang w:val="en-US"/>
              </w:rPr>
              <w:t>I max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0,5</w:t>
            </w:r>
            <w:r>
              <w:rPr>
                <w:rFonts w:cs="Times New Roman" w:ascii="Times New Roman" w:hAnsi="Times New Roman"/>
              </w:rPr>
              <w:t>инд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6.4.3  Проверка порога чувствительности.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Проверку  порога  чувствительности  производят  на установке ЦУ6800И при номинальном напряжении  220 В, коэффициенте мощности, равном единице и значении  силы  тока  в  фазе:</w:t>
      </w:r>
    </w:p>
    <w:p>
      <w:pPr>
        <w:pStyle w:val="TextBodyIndent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/>
        <w:ind w:left="0" w:firstLine="709"/>
        <w:rPr/>
      </w:pPr>
      <w:r>
        <w:rPr>
          <w:rFonts w:cs="Times New Roman" w:ascii="Times New Roman" w:hAnsi="Times New Roman"/>
        </w:rPr>
        <w:t xml:space="preserve">0,0125 А для счётчиков  класса точности 1 и 0,025 А для счётчиков  класса точности 2 (для счётчиков с 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>ном = 5 А);</w:t>
      </w:r>
    </w:p>
    <w:p>
      <w:pPr>
        <w:pStyle w:val="TextBodyIndent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/>
        <w:ind w:left="0" w:firstLine="709"/>
        <w:rPr/>
      </w:pPr>
      <w:r>
        <w:rPr>
          <w:rFonts w:cs="Times New Roman" w:ascii="Times New Roman" w:hAnsi="Times New Roman"/>
        </w:rPr>
        <w:t xml:space="preserve">0,025 А для счётчиков  класса точности 1 и 0,05 А для счётчиков  класса точности 2 (для счётчиков с 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>ном = 10 А).</w:t>
      </w:r>
    </w:p>
    <w:p>
      <w:pPr>
        <w:pStyle w:val="Normal"/>
        <w:ind w:firstLine="709"/>
        <w:jc w:val="both"/>
        <w:rPr/>
      </w:pPr>
      <w:r>
        <w:rPr>
          <w:rFonts w:eastAsia="Arial"/>
        </w:rPr>
        <w:t xml:space="preserve"> </w:t>
      </w:r>
      <w:r>
        <w:rPr>
          <w:rFonts w:cs="Times New Roman" w:ascii="Times New Roman" w:hAnsi="Times New Roman"/>
        </w:rPr>
        <w:t xml:space="preserve">Результаты испытаний считаются положительными, если счётчик регистрирует электроэнергию: телеметрический выход счётчика периодически меняет своё состояние (проверяется по индикатору ЦУ6800И) 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  <w:i/>
          <w:iCs/>
        </w:rPr>
        <w:t xml:space="preserve">Примечание </w:t>
      </w:r>
      <w:r>
        <w:rPr>
          <w:rFonts w:cs="Times New Roman" w:ascii="Times New Roman" w:hAnsi="Times New Roman"/>
        </w:rPr>
        <w:t>- Перед началом испытаний счётчики должны быть выдержаны 10 мин.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6.4.4  При проверке самохода установите в параллельной цепи счётчика напряжение 253 В.  Ток в последовательной цепи должен отсутствовать. При этом необходимо контролировать с помощью секундомера период мигания светового индикатора потребляемой мощности счётчика на установке ЦУ6800И.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Счётчик не должен создавать на импульсном выходе более одного импульса за период времени в минутах 60000/К,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где К – число импульсов, создаваемых выходным устройством счётчика, на киловатт-час. Отсчёт можно вести по индикатору счётчика или ЦУ6800И.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Heading6"/>
        <w:ind w:firstLine="709"/>
        <w:jc w:val="both"/>
        <w:rPr>
          <w:i w:val="false"/>
          <w:i w:val="false"/>
        </w:rPr>
      </w:pPr>
      <w:r>
        <w:rPr>
          <w:i w:val="false"/>
        </w:rPr>
        <w:t>7  Оформление   результатов   поверки</w:t>
      </w:r>
    </w:p>
    <w:p>
      <w:pPr>
        <w:pStyle w:val="Normal"/>
        <w:ind w:left="735" w:hanging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7.1 Положительные результаты поверки оформляются протоколом, пломбируют или накладывают оттиск поверительного клейма в соответствии с ПР 50.2.007 и делается запись в паспорте.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7.2  Счётчики, прошедшие поверку с отрицательным результатом бракуются, клеймо предыдущей поверки гасят, а счётчик изымают из обращения. Отрицательные результаты поверки оформляются в соответствии с требованиями  ПР 50.2.006.</w:t>
      </w:r>
      <w:r>
        <w:br w:type="page"/>
      </w:r>
    </w:p>
    <w:p>
      <w:pPr>
        <w:pStyle w:val="Heading1"/>
        <w:rPr/>
      </w:pPr>
      <w:r>
        <w:rPr/>
        <w:t>ПРИЛОЖЕНИЕ  А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(обязательное)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8"/>
        <w:spacing w:lineRule="auto" w:line="360"/>
        <w:rPr/>
      </w:pPr>
      <w:r>
        <w:rPr/>
        <w:t xml:space="preserve">Схема  для  проверки  функционирования </w:t>
      </w:r>
      <w:r>
        <w:rPr>
          <w:lang w:val="en-US"/>
        </w:rPr>
        <w:t>PLT</w:t>
      </w:r>
      <w:r>
        <w:rPr/>
        <w:t>-модема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/>
        <w:object w:dxaOrig="9683" w:dyaOrig="6848">
          <v:shape id="ole_rId12" style="width:380.05pt;height:270.8pt" o:ole="">
            <v:imagedata r:id="rId13" o:title=""/>
          </v:shape>
          <o:OLEObject Type="Embed" ProgID="" ShapeID="ole_rId12" DrawAspect="Content" ObjectID="_338511792" r:id="rId12"/>
        </w:object>
      </w:r>
    </w:p>
    <w:p>
      <w:pPr>
        <w:pStyle w:val="Normal"/>
        <w:ind w:left="2410" w:hanging="1559"/>
        <w:jc w:val="both"/>
        <w:rPr/>
      </w:pPr>
      <w:r>
        <w:rPr>
          <w:rFonts w:cs="Times New Roman" w:ascii="Times New Roman" w:hAnsi="Times New Roman"/>
          <w:b/>
          <w:i/>
        </w:rPr>
        <w:t>Примечание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 xml:space="preserve">– Счётчик и технологическое приспособление должны быть на одной силовой линии. </w:t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Лист  регистрации  изменений</w:t>
      </w:r>
    </w:p>
    <w:tbl>
      <w:tblPr>
        <w:tblW w:w="10080" w:type="dxa"/>
        <w:jc w:val="left"/>
        <w:tblInd w:w="-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27"/>
        <w:gridCol w:w="1028"/>
        <w:gridCol w:w="922"/>
        <w:gridCol w:w="1134"/>
        <w:gridCol w:w="1134"/>
        <w:gridCol w:w="1276"/>
        <w:gridCol w:w="1276"/>
        <w:gridCol w:w="850"/>
        <w:gridCol w:w="724"/>
      </w:tblGrid>
      <w:tr>
        <w:trPr>
          <w:trHeight w:val="600" w:hRule="exact"/>
          <w:cantSplit w:val="true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Изм.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282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листов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(страниц)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докум.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9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</w:p>
          <w:p>
            <w:pPr>
              <w:pStyle w:val="Normal"/>
              <w:spacing w:before="20" w:after="20"/>
              <w:ind w:right="-95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документа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Входящий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сопровод. докум.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дата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15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Подп.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</w:tr>
      <w:tr>
        <w:trPr>
          <w:trHeight w:val="839" w:hRule="exact"/>
          <w:cantSplit w:val="true"/>
        </w:trPr>
        <w:tc>
          <w:tcPr>
            <w:tcW w:w="70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изменен-ных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заменен-ных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новых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аннулированных</w:t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exact" w:line="300" w:before="20" w:after="20"/>
        <w:ind w:right="2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2552" w:leader="none"/>
          <w:tab w:val="left" w:pos="5812" w:leader="none"/>
          <w:tab w:val="left" w:pos="6096" w:leader="none"/>
        </w:tabs>
        <w:spacing w:lineRule="auto" w:line="360"/>
        <w:ind w:right="28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16"/>
      <w:footerReference w:type="default" r:id="rId17"/>
      <w:type w:val="nextPage"/>
      <w:pgSz w:w="11906" w:h="16838"/>
      <w:pgMar w:left="1531" w:right="680" w:header="0" w:top="993" w:footer="0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716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1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95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1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7165"/>
              <wp:effectExtent l="0" t="0" r="0" b="0"/>
              <wp:wrapSquare wrapText="largest"/>
              <wp:docPr id="4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2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95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2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2">
              <wp:simplePos x="0" y="0"/>
              <wp:positionH relativeFrom="column">
                <wp:posOffset>2210435</wp:posOffset>
              </wp:positionH>
              <wp:positionV relativeFrom="paragraph">
                <wp:posOffset>-1217930</wp:posOffset>
              </wp:positionV>
              <wp:extent cx="2391410" cy="832485"/>
              <wp:effectExtent l="0" t="0" r="0" b="0"/>
              <wp:wrapNone/>
              <wp:docPr id="5" name="Frame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1410" cy="83248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Счётчики ватт-часов активной энергии переменного тока электронные  «Меркурий-202»</w:t>
                          </w:r>
                        </w:p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Методика поверки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88.3pt;height:65.55pt;mso-wrap-distance-left:9.05pt;mso-wrap-distance-right:9.05pt;mso-wrap-distance-top:0pt;mso-wrap-distance-bottom:0pt;margin-top:-95.9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TextBody"/>
                      <w:rPr/>
                    </w:pPr>
                    <w:r>
                      <w:rPr>
                        <w:rFonts w:cs="Times New Roman" w:ascii="Times New Roman" w:hAnsi="Times New Roman"/>
                      </w:rPr>
                      <w:t>Счётчики ватт-часов активной энергии переменного тока электронные  «Меркурий-202»</w:t>
                    </w:r>
                  </w:p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>Методика поверки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3">
              <wp:simplePos x="0" y="0"/>
              <wp:positionH relativeFrom="column">
                <wp:posOffset>2210435</wp:posOffset>
              </wp:positionH>
              <wp:positionV relativeFrom="paragraph">
                <wp:posOffset>-1707515</wp:posOffset>
              </wp:positionV>
              <wp:extent cx="4047490" cy="299720"/>
              <wp:effectExtent l="0" t="0" r="0" b="0"/>
              <wp:wrapNone/>
              <wp:docPr id="6" name="Fram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2997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aps/>
                              <w:sz w:val="28"/>
                            </w:rPr>
                            <w:t>АВЛГ.411152.026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18.7pt;height:23.6pt;mso-wrap-distance-left:9.05pt;mso-wrap-distance-right:9.05pt;mso-wrap-distance-top:0pt;mso-wrap-distance-bottom:0pt;margin-top:-134.45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caps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caps/>
                        <w:sz w:val="28"/>
                      </w:rPr>
                      <w:t>АВЛГ.411152.026  И3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4">
              <wp:simplePos x="0" y="0"/>
              <wp:positionH relativeFrom="column">
                <wp:posOffset>583565</wp:posOffset>
              </wp:positionH>
              <wp:positionV relativeFrom="paragraph">
                <wp:posOffset>-1228725</wp:posOffset>
              </wp:positionV>
              <wp:extent cx="615950" cy="144780"/>
              <wp:effectExtent l="0" t="0" r="0" b="0"/>
              <wp:wrapNone/>
              <wp:docPr id="7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96.75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5">
              <wp:simplePos x="0" y="0"/>
              <wp:positionH relativeFrom="column">
                <wp:posOffset>583565</wp:posOffset>
              </wp:positionH>
              <wp:positionV relativeFrom="paragraph">
                <wp:posOffset>-1049020</wp:posOffset>
              </wp:positionV>
              <wp:extent cx="615950" cy="144780"/>
              <wp:effectExtent l="0" t="0" r="0" b="0"/>
              <wp:wrapNone/>
              <wp:docPr id="8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82.6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6">
              <wp:simplePos x="0" y="0"/>
              <wp:positionH relativeFrom="column">
                <wp:posOffset>5778500</wp:posOffset>
              </wp:positionH>
              <wp:positionV relativeFrom="paragraph">
                <wp:posOffset>-976630</wp:posOffset>
              </wp:positionV>
              <wp:extent cx="442595" cy="144780"/>
              <wp:effectExtent l="0" t="0" r="0" b="0"/>
              <wp:wrapNone/>
              <wp:docPr id="9" name="Frame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40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eastAsia="Arial"/>
                            </w:rPr>
                            <w:t xml:space="preserve">  </w:t>
                          </w:r>
                          <w:r>
                            <w:rPr>
                              <w:rStyle w:val="Style6"/>
                            </w:rPr>
                            <w:t>10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.85pt;height:11.4pt;mso-wrap-distance-left:9.05pt;mso-wrap-distance-right:9.05pt;mso-wrap-distance-top:0pt;mso-wrap-distance-bottom:0pt;margin-top:-76.9pt;mso-position-vertical-relative:text;margin-left:45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40"/>
                      <w:jc w:val="center"/>
                      <w:rPr/>
                    </w:pPr>
                    <w:r>
                      <w:rPr>
                        <w:rStyle w:val="Style6"/>
                        <w:rFonts w:eastAsia="Arial"/>
                      </w:rPr>
                      <w:t xml:space="preserve">  </w:t>
                    </w:r>
                    <w:r>
                      <w:rPr>
                        <w:rStyle w:val="Style6"/>
                      </w:rPr>
                      <w:t>10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8">
              <wp:simplePos x="0" y="0"/>
              <wp:positionH relativeFrom="column">
                <wp:posOffset>548640</wp:posOffset>
              </wp:positionH>
              <wp:positionV relativeFrom="paragraph">
                <wp:posOffset>-673100</wp:posOffset>
              </wp:positionV>
              <wp:extent cx="688340" cy="144780"/>
              <wp:effectExtent l="0" t="0" r="0" b="0"/>
              <wp:wrapNone/>
              <wp:docPr id="10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4.2pt;height:11.4pt;mso-wrap-distance-left:9.05pt;mso-wrap-distance-right:9.05pt;mso-wrap-distance-top:0pt;mso-wrap-distance-bottom:0pt;margin-top:-53pt;mso-position-vertical-relative:text;margin-left:43.2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2" name="Frame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rStyle w:val="Style6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3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>
                        <w:rStyle w:val="Style6"/>
                        <w:rFonts w:ascii="Times New Roman" w:hAnsi="Times New Roman" w:cs="Times New Roman"/>
                      </w:rPr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3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7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3" name="Frame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АВЛГ.411152.026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АВЛГ.411152.026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20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5" name="Frame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5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5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2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6" name="Frame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АВЛГ.411152.026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АВЛГ.411152.026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27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8" name="Frame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6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6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8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9" name="Frame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АВЛГ.411152.026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АВЛГ.411152.026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33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21" name="Frame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10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10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7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22" name="Frame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АВЛГ.411152.026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АВЛГ.411152.026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47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24" name="Frame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11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11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48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25" name="Frame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АВЛГ.411152.026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АВЛГ.411152.026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8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6770" cy="10483850"/>
              <wp:effectExtent l="0" t="0" r="0" b="0"/>
              <wp:wrapNone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6770" cy="104838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5.75pt" o:ole="">
                                <v:imagedata r:id="rId2" o:title=""/>
                              </v:shape>
                              <o:OLEObject Type="Embed" ProgID="" ShapeID="ole_rId1" DrawAspect="Content" ObjectID="_962923251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5.1pt;height:825.5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5.75pt" o:ole="">
                          <v:imagedata r:id="rId4" o:title=""/>
                        </v:shape>
                        <o:OLEObject Type="Embed" ProgID="" ShapeID="ole_rId3" DrawAspect="Content" ObjectID="_844021689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10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4865" cy="10436860"/>
              <wp:effectExtent l="0" t="0" r="0" b="0"/>
              <wp:wrapNone/>
              <wp:docPr id="3" name="Frame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4865" cy="104368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1.75pt" o:ole="">
                                <v:imagedata r:id="rId2" o:title=""/>
                              </v:shape>
                              <o:OLEObject Type="Embed" ProgID="" ShapeID="ole_rId1" DrawAspect="Content" ObjectID="_1621017205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4.95pt;height:821.8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1.75pt" o:ole="">
                          <v:imagedata r:id="rId4" o:title=""/>
                        </v:shape>
                        <o:OLEObject Type="Embed" ProgID="" ShapeID="ole_rId3" DrawAspect="Content" ObjectID="_1098698082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6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1" name="Frame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748756904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940090084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4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4" name="Frame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2071215557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113793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9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7" name="Frame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446727937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637016569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41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20" name="Frame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886562185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591997081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49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23" name="Frame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22906585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328437477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val="bestFit" w:percent="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tabs>
        <w:tab w:val="left" w:pos="720" w:leader="none"/>
        <w:tab w:val="left" w:pos="7056" w:leader="none"/>
      </w:tabs>
      <w:spacing w:lineRule="atLeast" w:line="480"/>
      <w:jc w:val="center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720" w:leader="none"/>
        <w:tab w:val="left" w:pos="7056" w:leader="none"/>
      </w:tabs>
      <w:spacing w:lineRule="atLeast" w:line="480"/>
      <w:jc w:val="right"/>
      <w:outlineLvl w:val="2"/>
    </w:pPr>
    <w:rPr>
      <w:rFonts w:ascii="Times New Roman" w:hAnsi="Times New Roman" w:cs="Times New Roma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Times New Roman" w:hAnsi="Times New Roman" w:cs="Times New Roman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i/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left="862" w:firstLine="578"/>
      <w:jc w:val="center"/>
      <w:outlineLvl w:val="8"/>
    </w:pPr>
    <w:rPr>
      <w:rFonts w:ascii="Times New Roman" w:hAnsi="Times New Roman" w:cs="Times New Roman"/>
      <w:b/>
      <w:sz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Style5">
    <w:name w:val="Основной шрифт абзаца"/>
    <w:qFormat/>
    <w:rPr/>
  </w:style>
  <w:style w:type="character" w:styleId="Style6">
    <w:name w:val="номер страницы"/>
    <w:basedOn w:val="Style5"/>
    <w:qFormat/>
    <w:rPr/>
  </w:style>
  <w:style w:type="character" w:styleId="Style7">
    <w:name w:val="знак примечания"/>
    <w:basedOn w:val="Style5"/>
    <w:qFormat/>
    <w:rPr>
      <w:sz w:val="16"/>
    </w:rPr>
  </w:style>
  <w:style w:type="character" w:styleId="InternetLink">
    <w:name w:val="Hyperlink"/>
    <w:basedOn w:val="Style5"/>
    <w:rPr>
      <w:color w:val="0000FF"/>
      <w:u w:val="single"/>
    </w:rPr>
  </w:style>
  <w:style w:type="character" w:styleId="VisitedInternetLink">
    <w:name w:val="FollowedHyperlink"/>
    <w:basedOn w:val="Style5"/>
    <w:rPr>
      <w:color w:val="800080"/>
      <w:u w:val="single"/>
    </w:rPr>
  </w:style>
  <w:style w:type="character" w:styleId="Style8">
    <w:name w:val="знак сноски"/>
    <w:basedOn w:val="Style5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/>
  </w:style>
  <w:style w:type="paragraph" w:styleId="List">
    <w:name w:val="List"/>
    <w:basedOn w:val="Normal"/>
    <w:pPr>
      <w:ind w:left="283" w:hanging="283"/>
    </w:pPr>
    <w:rPr>
      <w:rFonts w:ascii="Times New Roman" w:hAnsi="Times New Roman"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заголовок 1"/>
    <w:basedOn w:val="Normal"/>
    <w:next w:val="Normal"/>
    <w:qFormat/>
    <w:pPr>
      <w:keepNext w:val="true"/>
      <w:jc w:val="center"/>
    </w:pPr>
    <w:rPr>
      <w:kern w:val="2"/>
      <w:u w:val="single"/>
    </w:rPr>
  </w:style>
  <w:style w:type="paragraph" w:styleId="2">
    <w:name w:val="Основной текст 2"/>
    <w:basedOn w:val="Normal"/>
    <w:qFormat/>
    <w:pPr>
      <w:spacing w:lineRule="auto" w:line="360"/>
      <w:ind w:firstLine="709"/>
      <w:jc w:val="both"/>
    </w:pPr>
    <w:rPr/>
  </w:style>
  <w:style w:type="paragraph" w:styleId="Style9">
    <w:name w:val="Маркированный список"/>
    <w:basedOn w:val="Normal"/>
    <w:qFormat/>
    <w:pPr>
      <w:ind w:firstLine="709"/>
      <w:jc w:val="center"/>
    </w:pPr>
    <w:rPr>
      <w:kern w:val="2"/>
    </w:rPr>
  </w:style>
  <w:style w:type="paragraph" w:styleId="Style10">
    <w:name w:val="Цитата"/>
    <w:basedOn w:val="Normal"/>
    <w:qFormat/>
    <w:pPr>
      <w:spacing w:lineRule="atLeast" w:line="240"/>
      <w:ind w:left="330" w:right="88" w:firstLine="440"/>
      <w:jc w:val="both"/>
    </w:pPr>
    <w:rPr>
      <w:sz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1">
    <w:name w:val="Верх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2">
    <w:name w:val="Ниж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</w:rPr>
  </w:style>
  <w:style w:type="paragraph" w:styleId="TextBodyIndent">
    <w:name w:val="Body Text Indent"/>
    <w:basedOn w:val="Normal"/>
    <w:pPr>
      <w:spacing w:lineRule="auto" w:line="360"/>
      <w:ind w:firstLine="709"/>
      <w:jc w:val="both"/>
    </w:pPr>
    <w:rPr/>
  </w:style>
  <w:style w:type="paragraph" w:styleId="3">
    <w:name w:val="Основной текст с отступом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ind w:firstLine="567"/>
      <w:jc w:val="both"/>
    </w:pPr>
    <w:rPr>
      <w:rFonts w:ascii="Times New Roman" w:hAnsi="Times New Roman" w:cs="Times New Roman"/>
    </w:rPr>
  </w:style>
  <w:style w:type="paragraph" w:styleId="BodyText2">
    <w:name w:val="Body Text 2"/>
    <w:basedOn w:val="Normal"/>
    <w:qFormat/>
    <w:pPr>
      <w:widowControl w:val="false"/>
      <w:ind w:firstLine="708"/>
      <w:jc w:val="both"/>
    </w:pPr>
    <w:rPr>
      <w:rFonts w:ascii="Times New Roman" w:hAnsi="Times New Roman" w:cs="Times New Roman"/>
    </w:rPr>
  </w:style>
  <w:style w:type="paragraph" w:styleId="31">
    <w:name w:val="Основной текст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jc w:val="both"/>
    </w:pPr>
    <w:rPr>
      <w:rFonts w:ascii="Times New Roman" w:hAnsi="Times New Roman" w:cs="Times New Roman"/>
    </w:rPr>
  </w:style>
  <w:style w:type="paragraph" w:styleId="21">
    <w:name w:val="Основной текст с отступом 2"/>
    <w:basedOn w:val="Normal"/>
    <w:qFormat/>
    <w:pPr>
      <w:ind w:firstLine="720"/>
      <w:jc w:val="both"/>
    </w:pPr>
    <w:rPr>
      <w:rFonts w:ascii="Times New Roman" w:hAnsi="Times New Roman" w:cs="Times New Roman"/>
    </w:rPr>
  </w:style>
  <w:style w:type="paragraph" w:styleId="Style14">
    <w:name w:val="Текст примечания"/>
    <w:basedOn w:val="Normal"/>
    <w:qFormat/>
    <w:pPr>
      <w:jc w:val="both"/>
    </w:pPr>
    <w:rPr/>
  </w:style>
  <w:style w:type="paragraph" w:styleId="Normal1">
    <w:name w:val="LO-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BodyText3">
    <w:name w:val="Body Text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jc w:val="both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rFonts w:ascii="Times New Roman" w:hAnsi="Times New Roman" w:cs="Times New Roman"/>
    </w:rPr>
  </w:style>
  <w:style w:type="paragraph" w:styleId="Style15">
    <w:name w:val="Название объекта"/>
    <w:basedOn w:val="Normal"/>
    <w:next w:val="Normal"/>
    <w:qFormat/>
    <w:pPr>
      <w:jc w:val="center"/>
    </w:pPr>
    <w:rPr>
      <w:rFonts w:ascii="Times New Roman" w:hAnsi="Times New Roman" w:cs="Times New Roman"/>
      <w:b/>
    </w:rPr>
  </w:style>
  <w:style w:type="paragraph" w:styleId="22">
    <w:name w:val="оглавление 2"/>
    <w:basedOn w:val="Normal"/>
    <w:next w:val="Normal"/>
    <w:qFormat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Style16">
    <w:name w:val="Приложение"/>
    <w:basedOn w:val="Normal"/>
    <w:next w:val="Normal"/>
    <w:qFormat/>
    <w:pPr>
      <w:spacing w:lineRule="auto" w:line="360" w:before="60" w:after="0"/>
      <w:ind w:firstLine="680"/>
      <w:jc w:val="center"/>
    </w:pPr>
    <w:rPr>
      <w:b/>
      <w:u w:val="single"/>
    </w:rPr>
  </w:style>
  <w:style w:type="paragraph" w:styleId="Base">
    <w:name w:val="Base"/>
    <w:qFormat/>
    <w:pPr>
      <w:widowControl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Contents2">
    <w:name w:val="TOC 2"/>
    <w:basedOn w:val="Normal"/>
    <w:next w:val="Normal"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23">
    <w:name w:val="Маркированный список 2"/>
    <w:basedOn w:val="Normal"/>
    <w:qFormat/>
    <w:pPr>
      <w:numPr>
        <w:ilvl w:val="0"/>
        <w:numId w:val="4"/>
      </w:numPr>
      <w:tabs>
        <w:tab w:val="clear" w:pos="720"/>
        <w:tab w:val="left" w:pos="1134" w:leader="none"/>
      </w:tabs>
      <w:spacing w:lineRule="auto" w:line="360"/>
      <w:ind w:left="1134" w:hanging="425"/>
      <w:jc w:val="both"/>
    </w:pPr>
    <w:rPr>
      <w:rFonts w:ascii="Times New Roman" w:hAnsi="Times New Roman" w:cs="Times New Roman"/>
    </w:rPr>
  </w:style>
  <w:style w:type="paragraph" w:styleId="5">
    <w:name w:val="заголовок 5"/>
    <w:basedOn w:val="Normal"/>
    <w:next w:val="Normal"/>
    <w:qFormat/>
    <w:pPr>
      <w:keepNext w:val="true"/>
      <w:ind w:firstLine="284"/>
    </w:pPr>
    <w:rPr>
      <w:b/>
      <w:color w:val="FFFFFF"/>
      <w:sz w:val="22"/>
    </w:rPr>
  </w:style>
  <w:style w:type="paragraph" w:styleId="6">
    <w:name w:val="заголовок 6"/>
    <w:basedOn w:val="Normal"/>
    <w:next w:val="Normal"/>
    <w:qFormat/>
    <w:pPr>
      <w:keepNext w:val="true"/>
    </w:pPr>
    <w:rPr>
      <w:b/>
      <w:color w:val="FFFFFF"/>
      <w:sz w:val="22"/>
    </w:rPr>
  </w:style>
  <w:style w:type="paragraph" w:styleId="Style17">
    <w:name w:val="текст сноски"/>
    <w:basedOn w:val="Normal"/>
    <w:qFormat/>
    <w:pPr>
      <w:ind w:firstLine="567"/>
    </w:pPr>
    <w:rPr>
      <w:sz w:val="20"/>
    </w:rPr>
  </w:style>
  <w:style w:type="paragraph" w:styleId="Style18">
    <w:name w:val="текст примечания"/>
    <w:basedOn w:val="Normal"/>
    <w:qFormat/>
    <w:pPr>
      <w:ind w:firstLine="567"/>
    </w:pPr>
    <w:rPr>
      <w:sz w:val="20"/>
    </w:rPr>
  </w:style>
  <w:style w:type="paragraph" w:styleId="Style19">
    <w:name w:val="приложение"/>
    <w:basedOn w:val="Normal"/>
    <w:next w:val="Normal"/>
    <w:qFormat/>
    <w:pPr>
      <w:jc w:val="right"/>
    </w:pPr>
    <w:rPr>
      <w:b/>
      <w:sz w:val="28"/>
      <w:u w:val="singl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oleObject" Target="embeddings/oleObject11.bin"/><Relationship Id="rId13" Type="http://schemas.openxmlformats.org/officeDocument/2006/relationships/image" Target="media/image11.wmf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oleObject" Target="embeddings/oleObject2.bin"/><Relationship Id="rId4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3.bin"/><Relationship Id="rId2" Type="http://schemas.openxmlformats.org/officeDocument/2006/relationships/image" Target="media/image3.wmf"/><Relationship Id="rId3" Type="http://schemas.openxmlformats.org/officeDocument/2006/relationships/oleObject" Target="embeddings/oleObject4.bin"/><Relationship Id="rId4" Type="http://schemas.openxmlformats.org/officeDocument/2006/relationships/image" Target="media/image4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5.bin"/><Relationship Id="rId2" Type="http://schemas.openxmlformats.org/officeDocument/2006/relationships/image" Target="media/image5.wmf"/><Relationship Id="rId3" Type="http://schemas.openxmlformats.org/officeDocument/2006/relationships/oleObject" Target="embeddings/oleObject6.bin"/><Relationship Id="rId4" Type="http://schemas.openxmlformats.org/officeDocument/2006/relationships/image" Target="media/image6.wmf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oleObject" Target="embeddings/oleObject7.bin"/><Relationship Id="rId2" Type="http://schemas.openxmlformats.org/officeDocument/2006/relationships/image" Target="media/image7.wmf"/><Relationship Id="rId3" Type="http://schemas.openxmlformats.org/officeDocument/2006/relationships/oleObject" Target="embeddings/oleObject8.bin"/><Relationship Id="rId4" Type="http://schemas.openxmlformats.org/officeDocument/2006/relationships/image" Target="media/image8.wmf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oleObject" Target="embeddings/oleObject9.bin"/><Relationship Id="rId2" Type="http://schemas.openxmlformats.org/officeDocument/2006/relationships/image" Target="media/image9.wmf"/><Relationship Id="rId3" Type="http://schemas.openxmlformats.org/officeDocument/2006/relationships/oleObject" Target="embeddings/oleObject10.bin"/><Relationship Id="rId4" Type="http://schemas.openxmlformats.org/officeDocument/2006/relationships/image" Target="media/image10.wmf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oleObject" Target="embeddings/oleObject12.bin"/><Relationship Id="rId2" Type="http://schemas.openxmlformats.org/officeDocument/2006/relationships/image" Target="media/image12.wmf"/><Relationship Id="rId3" Type="http://schemas.openxmlformats.org/officeDocument/2006/relationships/oleObject" Target="embeddings/oleObject13.bin"/><Relationship Id="rId4" Type="http://schemas.openxmlformats.org/officeDocument/2006/relationships/image" Target="media/image13.wmf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oleObject" Target="embeddings/oleObject14.bin"/><Relationship Id="rId2" Type="http://schemas.openxmlformats.org/officeDocument/2006/relationships/image" Target="media/image14.wmf"/><Relationship Id="rId3" Type="http://schemas.openxmlformats.org/officeDocument/2006/relationships/oleObject" Target="embeddings/oleObject15.bin"/><Relationship Id="rId4" Type="http://schemas.openxmlformats.org/officeDocument/2006/relationships/image" Target="media/image15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FORMATTU.dot</Template>
  <TotalTime>2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2015-02-06T10:33:00Z</dcterms:created>
  <dc:creator>ЗВС</dc:creator>
  <dc:description/>
  <cp:keywords> </cp:keywords>
  <dc:language>en-US</dc:language>
  <cp:lastModifiedBy>Admin</cp:lastModifiedBy>
  <cp:lastPrinted>2004-12-09T11:13:00Z</cp:lastPrinted>
  <dcterms:modified xsi:type="dcterms:W3CDTF">2015-02-06T10:33:00Z</dcterms:modified>
  <cp:revision>2</cp:revision>
  <dc:subject/>
  <dc:title>Счётчик "Меркурий-202"</dc:title>
</cp:coreProperties>
</file>